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C603D">
      <w:pPr>
        <w:spacing w:line="580" w:lineRule="exact"/>
        <w:rPr>
          <w:rFonts w:ascii="黑体" w:hAnsi="黑体" w:eastAsia="黑体"/>
          <w:sz w:val="32"/>
          <w:szCs w:val="32"/>
        </w:rPr>
      </w:pPr>
      <w:bookmarkStart w:id="0" w:name="_GoBack"/>
      <w:bookmarkEnd w:id="0"/>
      <w:r>
        <w:rPr>
          <w:rFonts w:hint="eastAsia" w:ascii="黑体" w:hAnsi="黑体" w:eastAsia="黑体"/>
          <w:sz w:val="32"/>
          <w:szCs w:val="32"/>
        </w:rPr>
        <w:t>附件</w:t>
      </w:r>
    </w:p>
    <w:p w14:paraId="5534CF74">
      <w:pPr>
        <w:adjustRightInd w:val="0"/>
        <w:snapToGrid w:val="0"/>
        <w:spacing w:line="580" w:lineRule="exact"/>
        <w:jc w:val="center"/>
        <w:rPr>
          <w:rFonts w:ascii="方正小标宋简体" w:hAnsi="华文中宋" w:eastAsia="方正小标宋简体" w:cs="华文中宋"/>
          <w:bCs/>
          <w:sz w:val="44"/>
          <w:szCs w:val="48"/>
        </w:rPr>
      </w:pPr>
    </w:p>
    <w:p w14:paraId="23D09B0D">
      <w:pPr>
        <w:adjustRightInd w:val="0"/>
        <w:snapToGrid w:val="0"/>
        <w:spacing w:line="580" w:lineRule="exact"/>
        <w:jc w:val="center"/>
        <w:rPr>
          <w:rFonts w:ascii="方正小标宋简体" w:hAnsi="华文中宋" w:eastAsia="方正小标宋简体" w:cs="华文中宋"/>
          <w:bCs/>
          <w:sz w:val="44"/>
          <w:szCs w:val="48"/>
        </w:rPr>
      </w:pPr>
      <w:r>
        <w:rPr>
          <w:rFonts w:hint="eastAsia" w:ascii="方正小标宋简体" w:hAnsi="华文中宋" w:eastAsia="方正小标宋简体" w:cs="华文中宋"/>
          <w:bCs/>
          <w:sz w:val="44"/>
          <w:szCs w:val="48"/>
        </w:rPr>
        <w:t>京津冀地区海外知识产权纠纷应对指导</w:t>
      </w:r>
    </w:p>
    <w:p w14:paraId="3E54DBE7">
      <w:pPr>
        <w:adjustRightInd w:val="0"/>
        <w:snapToGrid w:val="0"/>
        <w:spacing w:line="580" w:lineRule="exact"/>
        <w:jc w:val="center"/>
        <w:rPr>
          <w:rFonts w:ascii="方正小标宋简体" w:hAnsi="华文中宋" w:eastAsia="方正小标宋简体" w:cs="华文中宋"/>
          <w:bCs/>
          <w:sz w:val="44"/>
          <w:szCs w:val="48"/>
        </w:rPr>
      </w:pPr>
      <w:r>
        <w:rPr>
          <w:rFonts w:hint="eastAsia" w:ascii="方正小标宋简体" w:hAnsi="华文中宋" w:eastAsia="方正小标宋简体" w:cs="华文中宋"/>
          <w:bCs/>
          <w:sz w:val="44"/>
          <w:szCs w:val="48"/>
        </w:rPr>
        <w:t>工作规程</w:t>
      </w:r>
    </w:p>
    <w:p w14:paraId="28DECFA0">
      <w:pPr>
        <w:adjustRightInd w:val="0"/>
        <w:snapToGrid w:val="0"/>
        <w:spacing w:line="580" w:lineRule="exact"/>
        <w:jc w:val="center"/>
        <w:rPr>
          <w:rFonts w:ascii="方正小标宋简体" w:hAnsi="华文中宋" w:eastAsia="方正小标宋简体" w:cs="华文中宋"/>
          <w:bCs/>
          <w:sz w:val="44"/>
          <w:szCs w:val="48"/>
        </w:rPr>
      </w:pPr>
    </w:p>
    <w:p w14:paraId="2B0E87A3">
      <w:pPr>
        <w:pStyle w:val="2"/>
        <w:spacing w:before="0" w:line="580" w:lineRule="exact"/>
      </w:pPr>
      <w:r>
        <w:rPr>
          <w:rFonts w:hint="eastAsia"/>
        </w:rPr>
        <w:t>第一章　总</w:t>
      </w:r>
      <w:r>
        <w:t xml:space="preserve">  </w:t>
      </w:r>
      <w:r>
        <w:rPr>
          <w:rFonts w:hint="eastAsia"/>
        </w:rPr>
        <w:t>则</w:t>
      </w:r>
    </w:p>
    <w:p w14:paraId="2D56899B">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第一条</w:t>
      </w:r>
      <w:r>
        <w:rPr>
          <w:rFonts w:hint="eastAsia" w:ascii="仿宋_GB2312" w:hAnsi="Calibri" w:eastAsia="仿宋_GB2312"/>
          <w:sz w:val="32"/>
          <w:szCs w:val="32"/>
        </w:rPr>
        <w:t>　为落实海外知识产权纠纷应对指导地方分中心职责，进一步规范海外知识产权纠纷应对指导工作，保障纠纷应对指导质量，提升市场主体海外知识产权纠纷应对能力，根据《海外知识产权纠纷应对指导地方分中心管理办法》和《海外知识产权纠纷应对指导程序通则》等相关要求，制定本规程。</w:t>
      </w:r>
    </w:p>
    <w:p w14:paraId="2AF1E2A6">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第二条</w:t>
      </w:r>
      <w:r>
        <w:rPr>
          <w:rFonts w:hint="eastAsia" w:ascii="仿宋_GB2312" w:hAnsi="Calibri" w:eastAsia="仿宋_GB2312"/>
          <w:sz w:val="32"/>
          <w:szCs w:val="32"/>
        </w:rPr>
        <w:t>　本规程所称的纠纷应对指导，是指京津冀地区市场主体在海外发生知识产权纠纷前、纠纷中，在京津冀各海外知识产权纠纷应对指导地方分中心的组织和协调下，分级分类由海外知识产权纠纷应对指导专家运用专业知识和技能，对纠纷涉及的问题开展分析、评估、判断并提供专业指导意见的公共服务工作。</w:t>
      </w:r>
    </w:p>
    <w:p w14:paraId="3D0EE853">
      <w:pPr>
        <w:adjustRightInd w:val="0"/>
        <w:snapToGrid w:val="0"/>
        <w:spacing w:line="58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第三条</w:t>
      </w:r>
      <w:r>
        <w:rPr>
          <w:rFonts w:hint="eastAsia" w:ascii="仿宋_GB2312" w:hAnsi="Calibri" w:eastAsia="仿宋_GB2312"/>
          <w:sz w:val="32"/>
          <w:szCs w:val="32"/>
        </w:rPr>
        <w:t>　本规程所称指导专家，是指京津冀各海外知识产权纠纷应对指导地方分中心邀请参加纠纷应对指导的知识产权专业人员。</w:t>
      </w:r>
    </w:p>
    <w:p w14:paraId="786CD053">
      <w:pPr>
        <w:adjustRightInd w:val="0"/>
        <w:snapToGrid w:val="0"/>
        <w:spacing w:line="58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第四条</w:t>
      </w:r>
      <w:r>
        <w:rPr>
          <w:rFonts w:hint="eastAsia" w:ascii="仿宋_GB2312" w:hAnsi="Calibri" w:eastAsia="仿宋_GB2312"/>
          <w:sz w:val="32"/>
          <w:szCs w:val="32"/>
        </w:rPr>
        <w:t>　本规定适用于京津冀各海外知识产权纠纷应对指导地方分中心和指导专家从事第二条规定的纠纷应对指导工作。</w:t>
      </w:r>
    </w:p>
    <w:p w14:paraId="4BBA6510">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第五条</w:t>
      </w:r>
      <w:r>
        <w:rPr>
          <w:rFonts w:hint="eastAsia" w:ascii="仿宋_GB2312" w:hAnsi="Calibri" w:eastAsia="仿宋_GB2312"/>
          <w:sz w:val="32"/>
          <w:szCs w:val="32"/>
        </w:rPr>
        <w:t>　京津冀各海外知识产权纠纷应对指导地方分中心和指导专家开展指导业务，应当遵守国家法律、法规等相关规范，遵守职业道德。</w:t>
      </w:r>
    </w:p>
    <w:p w14:paraId="120EA616">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第六条</w:t>
      </w:r>
      <w:r>
        <w:rPr>
          <w:rFonts w:hint="eastAsia" w:ascii="仿宋_GB2312" w:hAnsi="Calibri" w:eastAsia="仿宋_GB2312"/>
          <w:sz w:val="32"/>
          <w:szCs w:val="32"/>
        </w:rPr>
        <w:t>　</w:t>
      </w:r>
      <w:r>
        <w:rPr>
          <w:rFonts w:hint="eastAsia" w:ascii="仿宋_GB2312" w:hAnsi="Calibri" w:eastAsia="仿宋_GB2312"/>
          <w:iCs/>
          <w:sz w:val="32"/>
          <w:szCs w:val="32"/>
        </w:rPr>
        <w:t>纠纷应对指导工作实行指导专家负责制度。指导专家应当独立、客观、及时地进行指导，并对作出的指</w:t>
      </w:r>
      <w:r>
        <w:rPr>
          <w:rFonts w:hint="eastAsia" w:ascii="仿宋_GB2312" w:hAnsi="Calibri" w:eastAsia="仿宋_GB2312"/>
          <w:sz w:val="32"/>
          <w:szCs w:val="32"/>
        </w:rPr>
        <w:t>导意见负责。</w:t>
      </w:r>
    </w:p>
    <w:p w14:paraId="14AFC56A">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第七条</w:t>
      </w:r>
      <w:r>
        <w:rPr>
          <w:rFonts w:hint="eastAsia" w:ascii="仿宋_GB2312" w:hAnsi="楷体" w:eastAsia="仿宋_GB2312" w:cs="楷体"/>
          <w:sz w:val="32"/>
          <w:szCs w:val="32"/>
        </w:rPr>
        <w:t>　</w:t>
      </w:r>
      <w:r>
        <w:rPr>
          <w:rFonts w:hint="eastAsia" w:ascii="仿宋_GB2312" w:hAnsi="Calibri" w:eastAsia="仿宋_GB2312"/>
          <w:sz w:val="32"/>
          <w:szCs w:val="32"/>
        </w:rPr>
        <w:t>京津冀各海外知识产权纠纷应对指导地方分中心和指导专家对于在指导业务中知悉的国家秘密、商业秘密和个人隐私负有保密义务。</w:t>
      </w:r>
    </w:p>
    <w:p w14:paraId="1D50D173">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第八条</w:t>
      </w:r>
      <w:r>
        <w:rPr>
          <w:rFonts w:hint="eastAsia" w:ascii="仿宋_GB2312" w:hAnsi="Calibri" w:eastAsia="仿宋_GB2312"/>
          <w:sz w:val="32"/>
          <w:szCs w:val="32"/>
        </w:rPr>
        <w:t>　指导业务属于公益性咨询服务。</w:t>
      </w:r>
    </w:p>
    <w:p w14:paraId="7C212AEC">
      <w:pPr>
        <w:adjustRightInd w:val="0"/>
        <w:snapToGrid w:val="0"/>
        <w:spacing w:line="580" w:lineRule="exact"/>
        <w:ind w:firstLine="643" w:firstLineChars="200"/>
        <w:rPr>
          <w:rFonts w:ascii="仿宋_GB2312" w:hAnsi="黑体" w:eastAsia="仿宋_GB2312"/>
          <w:sz w:val="32"/>
          <w:szCs w:val="32"/>
        </w:rPr>
      </w:pPr>
      <w:r>
        <w:rPr>
          <w:rFonts w:hint="eastAsia" w:ascii="仿宋_GB2312" w:hAnsi="楷体" w:eastAsia="仿宋_GB2312" w:cs="楷体"/>
          <w:b/>
          <w:bCs/>
          <w:sz w:val="32"/>
          <w:szCs w:val="32"/>
        </w:rPr>
        <w:t>第九条</w:t>
      </w:r>
      <w:r>
        <w:rPr>
          <w:rFonts w:hint="eastAsia" w:ascii="仿宋_GB2312" w:hAnsi="Calibri" w:eastAsia="仿宋_GB2312"/>
          <w:sz w:val="32"/>
          <w:szCs w:val="32"/>
        </w:rPr>
        <w:t>　京津冀各海外知识产权纠纷应对指导地方分中心接受国家知识产权局知识产权保护司布局规划和运行监督，接受</w:t>
      </w:r>
      <w:r>
        <w:rPr>
          <w:rFonts w:hint="eastAsia" w:ascii="仿宋_GB2312" w:hAnsi="Calibri" w:eastAsia="仿宋_GB2312"/>
          <w:bCs/>
          <w:sz w:val="32"/>
          <w:szCs w:val="32"/>
        </w:rPr>
        <w:t>国家</w:t>
      </w:r>
      <w:r>
        <w:rPr>
          <w:rFonts w:hint="eastAsia" w:ascii="仿宋_GB2312" w:hAnsi="Calibri" w:eastAsia="仿宋_GB2312"/>
          <w:sz w:val="32"/>
          <w:szCs w:val="32"/>
        </w:rPr>
        <w:t>海外知识产权纠纷应对指导中心业务管理、资源协调和年度工作评价，接受</w:t>
      </w:r>
      <w:r>
        <w:rPr>
          <w:rFonts w:hint="eastAsia" w:ascii="仿宋_GB2312" w:hAnsi="Calibri" w:eastAsia="仿宋_GB2312"/>
          <w:bCs/>
          <w:sz w:val="32"/>
          <w:szCs w:val="32"/>
        </w:rPr>
        <w:t>所在省市</w:t>
      </w:r>
      <w:r>
        <w:rPr>
          <w:rFonts w:hint="eastAsia" w:ascii="仿宋_GB2312" w:hAnsi="Calibri" w:eastAsia="仿宋_GB2312"/>
          <w:sz w:val="32"/>
          <w:szCs w:val="32"/>
        </w:rPr>
        <w:t>知识产权局的监督和管理。　</w:t>
      </w:r>
    </w:p>
    <w:p w14:paraId="24726E4F">
      <w:pPr>
        <w:pStyle w:val="2"/>
        <w:spacing w:before="0" w:line="580" w:lineRule="exact"/>
      </w:pPr>
      <w:r>
        <w:rPr>
          <w:rFonts w:hint="eastAsia"/>
        </w:rPr>
        <w:t>第二章　指导申请</w:t>
      </w:r>
    </w:p>
    <w:p w14:paraId="22553F42">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第十条　</w:t>
      </w:r>
      <w:r>
        <w:rPr>
          <w:rFonts w:hint="eastAsia" w:ascii="仿宋_GB2312" w:hAnsi="Calibri" w:eastAsia="仿宋_GB2312"/>
          <w:sz w:val="32"/>
          <w:szCs w:val="32"/>
        </w:rPr>
        <w:t>申请人申请指导的，应当向京津冀各海外知识产权纠纷应对指导地方分中心提交《海外知识产权纠纷应对指导申请书》，以及提供真实、完整、详实的知识产权纠纷应对指导相关材料，并对所提供材料的真实性、合法性负责。</w:t>
      </w:r>
    </w:p>
    <w:p w14:paraId="0C189FE5">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指导申请书应当载明申请人名称、涉及纠纷类型、涉及权利类别、纠纷国家/地区、指导申请事项等。</w:t>
      </w:r>
    </w:p>
    <w:p w14:paraId="0A83A948">
      <w:pPr>
        <w:adjustRightInd w:val="0"/>
        <w:snapToGrid w:val="0"/>
        <w:spacing w:line="58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第十一条</w:t>
      </w:r>
      <w:r>
        <w:rPr>
          <w:rFonts w:hint="eastAsia" w:ascii="仿宋_GB2312" w:hAnsi="Calibri" w:eastAsia="仿宋_GB2312"/>
          <w:sz w:val="32"/>
          <w:szCs w:val="32"/>
        </w:rPr>
        <w:t>　本规程所称知识产权纠纷应对指导相关材料，包括</w:t>
      </w:r>
      <w:r>
        <w:rPr>
          <w:rFonts w:hint="eastAsia" w:ascii="仿宋_GB2312" w:hAnsi="楷体" w:eastAsia="仿宋_GB2312" w:cs="楷体"/>
          <w:bCs/>
          <w:sz w:val="32"/>
          <w:szCs w:val="32"/>
        </w:rPr>
        <w:t>指导</w:t>
      </w:r>
      <w:r>
        <w:rPr>
          <w:rFonts w:hint="eastAsia" w:ascii="仿宋_GB2312" w:eastAsia="仿宋_GB2312"/>
          <w:sz w:val="32"/>
          <w:szCs w:val="32"/>
        </w:rPr>
        <w:t>纠纷</w:t>
      </w:r>
      <w:r>
        <w:rPr>
          <w:rFonts w:hint="eastAsia" w:ascii="仿宋_GB2312" w:hAnsi="楷体" w:eastAsia="仿宋_GB2312" w:cs="楷体"/>
          <w:bCs/>
          <w:sz w:val="32"/>
          <w:szCs w:val="32"/>
        </w:rPr>
        <w:t>应对</w:t>
      </w:r>
      <w:r>
        <w:rPr>
          <w:rFonts w:hint="eastAsia" w:ascii="仿宋_GB2312" w:eastAsia="仿宋_GB2312"/>
          <w:sz w:val="32"/>
          <w:szCs w:val="32"/>
        </w:rPr>
        <w:t>必需的法律文书、技术文件、证据材料等。</w:t>
      </w:r>
    </w:p>
    <w:p w14:paraId="1B19090A">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第十二条</w:t>
      </w:r>
      <w:r>
        <w:rPr>
          <w:rFonts w:hint="eastAsia" w:ascii="仿宋_GB2312" w:hAnsi="Calibri" w:eastAsia="仿宋_GB2312"/>
          <w:sz w:val="32"/>
          <w:szCs w:val="32"/>
        </w:rPr>
        <w:t xml:space="preserve">  京津冀各海外知识产权纠纷应对指导地方分中心按照地域管辖范围，分别接受</w:t>
      </w:r>
      <w:r>
        <w:rPr>
          <w:rFonts w:hint="eastAsia" w:ascii="仿宋_GB2312" w:hAnsi="楷体" w:eastAsia="仿宋_GB2312" w:cs="楷体"/>
          <w:bCs/>
          <w:sz w:val="32"/>
          <w:szCs w:val="32"/>
        </w:rPr>
        <w:t>京津冀地区的自然人、法人和非法人组织提交的</w:t>
      </w:r>
      <w:r>
        <w:rPr>
          <w:rFonts w:hint="eastAsia" w:ascii="仿宋_GB2312" w:hAnsi="宋体" w:eastAsia="仿宋_GB2312" w:cs="仿宋_GB2312"/>
          <w:bCs/>
          <w:sz w:val="32"/>
          <w:szCs w:val="32"/>
        </w:rPr>
        <w:t>海外纠纷应对指导申请</w:t>
      </w:r>
      <w:r>
        <w:rPr>
          <w:rFonts w:hint="eastAsia" w:ascii="仿宋_GB2312" w:hAnsi="Calibri" w:eastAsia="仿宋_GB2312"/>
          <w:sz w:val="32"/>
          <w:szCs w:val="32"/>
        </w:rPr>
        <w:t>。</w:t>
      </w:r>
    </w:p>
    <w:p w14:paraId="01DEBCB2">
      <w:pPr>
        <w:adjustRightInd w:val="0"/>
        <w:snapToGrid w:val="0"/>
        <w:spacing w:line="580" w:lineRule="exact"/>
        <w:ind w:firstLine="643" w:firstLineChars="200"/>
        <w:rPr>
          <w:rFonts w:ascii="仿宋_GB2312" w:hAnsi="宋体" w:eastAsia="仿宋_GB2312" w:cs="仿宋_GB2312"/>
          <w:bCs/>
          <w:sz w:val="32"/>
          <w:szCs w:val="32"/>
        </w:rPr>
      </w:pPr>
      <w:r>
        <w:rPr>
          <w:rFonts w:hint="eastAsia" w:ascii="仿宋_GB2312" w:hAnsi="楷体" w:eastAsia="仿宋_GB2312" w:cs="楷体"/>
          <w:b/>
          <w:bCs/>
          <w:sz w:val="32"/>
          <w:szCs w:val="32"/>
        </w:rPr>
        <w:t xml:space="preserve">第十三条  </w:t>
      </w:r>
      <w:r>
        <w:rPr>
          <w:rFonts w:hint="eastAsia" w:ascii="仿宋_GB2312" w:eastAsia="仿宋_GB2312"/>
          <w:sz w:val="32"/>
          <w:szCs w:val="32"/>
        </w:rPr>
        <w:t>京津冀各海外知识产权纠纷应对指导地方分中心</w:t>
      </w:r>
      <w:r>
        <w:rPr>
          <w:rFonts w:hint="eastAsia" w:ascii="仿宋_GB2312" w:hAnsi="宋体" w:eastAsia="仿宋_GB2312" w:cs="仿宋_GB2312"/>
          <w:bCs/>
          <w:sz w:val="32"/>
          <w:szCs w:val="32"/>
        </w:rPr>
        <w:t>接受在中国境外发生的如下类别知识产权纠纷的应对指导咨询申请：</w:t>
      </w:r>
    </w:p>
    <w:p w14:paraId="2CB51421">
      <w:pPr>
        <w:adjustRightInd w:val="0"/>
        <w:snapToGrid w:val="0"/>
        <w:spacing w:line="580" w:lineRule="exact"/>
        <w:ind w:firstLine="640" w:firstLineChars="200"/>
        <w:rPr>
          <w:rFonts w:ascii="仿宋_GB2312" w:hAnsi="宋体" w:eastAsia="仿宋_GB2312" w:cs="仿宋_GB2312"/>
          <w:bCs/>
          <w:sz w:val="32"/>
          <w:szCs w:val="32"/>
        </w:rPr>
      </w:pPr>
      <w:r>
        <w:rPr>
          <w:rFonts w:hint="eastAsia" w:ascii="仿宋_GB2312" w:hAnsi="宋体" w:eastAsia="仿宋_GB2312" w:cs="仿宋_GB2312"/>
          <w:bCs/>
          <w:sz w:val="32"/>
          <w:szCs w:val="32"/>
        </w:rPr>
        <w:t>1.商标、专利、地理标志等权利有效性纠纷；</w:t>
      </w:r>
    </w:p>
    <w:p w14:paraId="7E48E40D">
      <w:pPr>
        <w:adjustRightInd w:val="0"/>
        <w:snapToGrid w:val="0"/>
        <w:spacing w:line="580" w:lineRule="exact"/>
        <w:ind w:firstLine="640" w:firstLineChars="200"/>
        <w:rPr>
          <w:rFonts w:ascii="仿宋_GB2312" w:hAnsi="宋体" w:eastAsia="仿宋_GB2312" w:cs="仿宋_GB2312"/>
          <w:bCs/>
          <w:sz w:val="32"/>
          <w:szCs w:val="32"/>
        </w:rPr>
      </w:pPr>
      <w:r>
        <w:rPr>
          <w:rFonts w:hint="eastAsia" w:ascii="仿宋_GB2312" w:hAnsi="宋体" w:eastAsia="仿宋_GB2312" w:cs="仿宋_GB2312"/>
          <w:bCs/>
          <w:sz w:val="32"/>
          <w:szCs w:val="32"/>
        </w:rPr>
        <w:t>2.商标、专利、地理标志等权属纠纷；</w:t>
      </w:r>
    </w:p>
    <w:p w14:paraId="5D38BB72">
      <w:pPr>
        <w:adjustRightInd w:val="0"/>
        <w:snapToGrid w:val="0"/>
        <w:spacing w:line="580" w:lineRule="exact"/>
        <w:ind w:firstLine="640" w:firstLineChars="200"/>
        <w:rPr>
          <w:rFonts w:ascii="仿宋_GB2312" w:hAnsi="宋体" w:eastAsia="仿宋_GB2312" w:cs="仿宋_GB2312"/>
          <w:bCs/>
          <w:sz w:val="32"/>
          <w:szCs w:val="32"/>
        </w:rPr>
      </w:pPr>
      <w:r>
        <w:rPr>
          <w:rFonts w:hint="eastAsia" w:ascii="仿宋_GB2312" w:hAnsi="宋体" w:eastAsia="仿宋_GB2312" w:cs="仿宋_GB2312"/>
          <w:bCs/>
          <w:sz w:val="32"/>
          <w:szCs w:val="32"/>
        </w:rPr>
        <w:t>3.商标、专利、地理标志等侵权纠纷；</w:t>
      </w:r>
    </w:p>
    <w:p w14:paraId="0741EAC6">
      <w:pPr>
        <w:adjustRightInd w:val="0"/>
        <w:snapToGrid w:val="0"/>
        <w:spacing w:line="580" w:lineRule="exact"/>
        <w:ind w:firstLine="640" w:firstLineChars="200"/>
        <w:rPr>
          <w:rFonts w:ascii="仿宋_GB2312" w:hAnsi="宋体" w:eastAsia="仿宋_GB2312" w:cs="仿宋_GB2312"/>
          <w:bCs/>
          <w:sz w:val="32"/>
          <w:szCs w:val="32"/>
        </w:rPr>
      </w:pPr>
      <w:r>
        <w:rPr>
          <w:rFonts w:hint="eastAsia" w:ascii="仿宋_GB2312" w:hAnsi="宋体" w:eastAsia="仿宋_GB2312" w:cs="仿宋_GB2312"/>
          <w:bCs/>
          <w:sz w:val="32"/>
          <w:szCs w:val="32"/>
        </w:rPr>
        <w:t>4.商标、专利等相关贸易调查纠纷；</w:t>
      </w:r>
    </w:p>
    <w:p w14:paraId="4845BA09">
      <w:pPr>
        <w:adjustRightInd w:val="0"/>
        <w:snapToGrid w:val="0"/>
        <w:spacing w:line="580" w:lineRule="exact"/>
        <w:ind w:firstLine="640" w:firstLineChars="200"/>
        <w:rPr>
          <w:rFonts w:ascii="仿宋_GB2312" w:hAnsi="宋体" w:eastAsia="仿宋_GB2312" w:cs="仿宋_GB2312"/>
          <w:bCs/>
          <w:sz w:val="32"/>
          <w:szCs w:val="32"/>
        </w:rPr>
      </w:pPr>
      <w:r>
        <w:rPr>
          <w:rFonts w:hint="eastAsia" w:ascii="仿宋_GB2312" w:hAnsi="宋体" w:eastAsia="仿宋_GB2312" w:cs="仿宋_GB2312"/>
          <w:bCs/>
          <w:sz w:val="32"/>
          <w:szCs w:val="32"/>
        </w:rPr>
        <w:t>5.商标、专利、地理标志等许可纠纷；</w:t>
      </w:r>
    </w:p>
    <w:p w14:paraId="0C922D22">
      <w:pPr>
        <w:adjustRightInd w:val="0"/>
        <w:snapToGrid w:val="0"/>
        <w:spacing w:line="580" w:lineRule="exact"/>
        <w:ind w:firstLine="640" w:firstLineChars="200"/>
        <w:rPr>
          <w:rFonts w:ascii="仿宋_GB2312" w:hAnsi="宋体" w:eastAsia="仿宋_GB2312" w:cs="仿宋_GB2312"/>
          <w:bCs/>
          <w:sz w:val="32"/>
          <w:szCs w:val="32"/>
        </w:rPr>
      </w:pPr>
      <w:r>
        <w:rPr>
          <w:rFonts w:hint="eastAsia" w:ascii="仿宋_GB2312" w:hAnsi="宋体" w:eastAsia="仿宋_GB2312" w:cs="仿宋_GB2312"/>
          <w:bCs/>
          <w:sz w:val="32"/>
          <w:szCs w:val="32"/>
        </w:rPr>
        <w:t>6.展会知识产权纠纷；</w:t>
      </w:r>
    </w:p>
    <w:p w14:paraId="62D3422A">
      <w:pPr>
        <w:adjustRightInd w:val="0"/>
        <w:snapToGrid w:val="0"/>
        <w:spacing w:line="580" w:lineRule="exact"/>
        <w:ind w:firstLine="640" w:firstLineChars="200"/>
        <w:rPr>
          <w:rFonts w:ascii="仿宋_GB2312" w:hAnsi="宋体" w:eastAsia="仿宋_GB2312" w:cs="仿宋_GB2312"/>
          <w:bCs/>
          <w:sz w:val="32"/>
          <w:szCs w:val="32"/>
        </w:rPr>
      </w:pPr>
      <w:r>
        <w:rPr>
          <w:rFonts w:hint="eastAsia" w:ascii="仿宋_GB2312" w:hAnsi="宋体" w:eastAsia="仿宋_GB2312" w:cs="仿宋_GB2312"/>
          <w:bCs/>
          <w:sz w:val="32"/>
          <w:szCs w:val="32"/>
        </w:rPr>
        <w:t>7.商业秘密纠纷；</w:t>
      </w:r>
    </w:p>
    <w:p w14:paraId="3FBD16BE">
      <w:pPr>
        <w:adjustRightInd w:val="0"/>
        <w:snapToGrid w:val="0"/>
        <w:spacing w:line="580" w:lineRule="exact"/>
        <w:ind w:firstLine="640" w:firstLineChars="200"/>
        <w:rPr>
          <w:rFonts w:ascii="仿宋_GB2312" w:hAnsi="Calibri" w:eastAsia="仿宋_GB2312"/>
          <w:sz w:val="32"/>
          <w:szCs w:val="32"/>
        </w:rPr>
      </w:pPr>
      <w:r>
        <w:rPr>
          <w:rFonts w:hint="eastAsia" w:ascii="仿宋_GB2312" w:hAnsi="宋体" w:eastAsia="仿宋_GB2312" w:cs="仿宋_GB2312"/>
          <w:bCs/>
          <w:sz w:val="32"/>
          <w:szCs w:val="32"/>
        </w:rPr>
        <w:t>8.能够提供咨询服务的其他海外知识产权纠纷。</w:t>
      </w:r>
    </w:p>
    <w:p w14:paraId="12CCB809">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第十四条</w:t>
      </w:r>
      <w:r>
        <w:rPr>
          <w:rFonts w:hint="eastAsia" w:ascii="仿宋_GB2312" w:hAnsi="Calibri" w:eastAsia="仿宋_GB2312"/>
          <w:sz w:val="32"/>
          <w:szCs w:val="32"/>
        </w:rPr>
        <w:t>　</w:t>
      </w:r>
      <w:r>
        <w:rPr>
          <w:rFonts w:hint="eastAsia" w:ascii="仿宋_GB2312" w:eastAsia="仿宋_GB2312"/>
          <w:sz w:val="32"/>
          <w:szCs w:val="32"/>
        </w:rPr>
        <w:t>收到指导申请后，由海外知识产权纠纷应对指导地方分中心对有关申请材料进行审核</w:t>
      </w:r>
      <w:r>
        <w:rPr>
          <w:rFonts w:hint="eastAsia" w:ascii="仿宋_GB2312" w:hAnsi="Calibri" w:eastAsia="仿宋_GB2312"/>
          <w:sz w:val="32"/>
          <w:szCs w:val="32"/>
        </w:rPr>
        <w:t>，并自收到指导申请之日起5个工作日内作出是否接受指导申请的决定。</w:t>
      </w:r>
    </w:p>
    <w:p w14:paraId="3AD8B938">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对属于海外知识产权纠纷应对指导地方分中心指导业务范围，且提供的知识产权纠纷相关材料符合指导需要的，应当接受指导申请，并出具《受理通知书》。</w:t>
      </w:r>
    </w:p>
    <w:p w14:paraId="58F62A64">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对于海外知识产权纠纷材料不完整、不详实，不能满足指导需要的，由海外知识产权纠纷应对指导地方分中心发出《补充材料通知书》，要求申请人在5个工作日内补充；经补充后能够符合指导需要的，应当接受指导申请；未在规定时限内补全材料的，视为撤回申请。</w:t>
      </w:r>
    </w:p>
    <w:p w14:paraId="086C2DD5">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第十五条</w:t>
      </w:r>
      <w:r>
        <w:rPr>
          <w:rFonts w:hint="eastAsia" w:ascii="仿宋_GB2312" w:hAnsi="Calibri" w:eastAsia="仿宋_GB2312"/>
          <w:sz w:val="32"/>
          <w:szCs w:val="32"/>
        </w:rPr>
        <w:t>　具有下列情形之一的申请，海外知识产权纠纷应对指导地方分中心不予接受：</w:t>
      </w:r>
    </w:p>
    <w:p w14:paraId="019DE7E9">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（一）申请指导事项超出海外知识产权纠纷应对指导地方分中心指导业务范围的；</w:t>
      </w:r>
    </w:p>
    <w:p w14:paraId="5FE2DA54">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（二）材料不真实、不完整或取得方式不合法的；</w:t>
      </w:r>
    </w:p>
    <w:p w14:paraId="2FC24674">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（三）要求超出海外知识产权纠纷应对指导地方分中心指导能力或者技术条件的。</w:t>
      </w:r>
    </w:p>
    <w:p w14:paraId="1DE7CE01">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第十六条</w:t>
      </w:r>
      <w:r>
        <w:rPr>
          <w:rFonts w:hint="eastAsia" w:ascii="仿宋_GB2312" w:hAnsi="Calibri" w:eastAsia="仿宋_GB2312"/>
          <w:sz w:val="32"/>
          <w:szCs w:val="32"/>
        </w:rPr>
        <w:t>　海外知识产权纠纷应对指导地方分中心决定接受申请的，应当告知申请人。</w:t>
      </w:r>
    </w:p>
    <w:p w14:paraId="40AB6455">
      <w:pPr>
        <w:adjustRightInd w:val="0"/>
        <w:snapToGrid w:val="0"/>
        <w:spacing w:line="580" w:lineRule="exact"/>
        <w:ind w:firstLine="643" w:firstLineChars="200"/>
        <w:rPr>
          <w:rFonts w:ascii="仿宋_GB2312" w:hAnsi="黑体" w:eastAsia="仿宋_GB2312"/>
          <w:sz w:val="32"/>
          <w:szCs w:val="32"/>
        </w:rPr>
      </w:pPr>
      <w:r>
        <w:rPr>
          <w:rFonts w:hint="eastAsia" w:ascii="仿宋_GB2312" w:hAnsi="楷体" w:eastAsia="仿宋_GB2312" w:cs="楷体"/>
          <w:b/>
          <w:bCs/>
          <w:sz w:val="32"/>
          <w:szCs w:val="32"/>
        </w:rPr>
        <w:t>第十七条</w:t>
      </w:r>
      <w:r>
        <w:rPr>
          <w:rFonts w:hint="eastAsia" w:ascii="仿宋_GB2312" w:hAnsi="Calibri" w:eastAsia="仿宋_GB2312"/>
          <w:sz w:val="32"/>
          <w:szCs w:val="32"/>
        </w:rPr>
        <w:t>　海外知识产权纠纷应对指导地方分中心决定不予接受的，应当向申请人说明理由，发出《</w:t>
      </w:r>
      <w:r>
        <w:rPr>
          <w:rFonts w:hint="eastAsia" w:ascii="仿宋_GB2312" w:eastAsia="仿宋_GB2312"/>
          <w:sz w:val="32"/>
          <w:szCs w:val="32"/>
        </w:rPr>
        <w:t>不予受理通知书</w:t>
      </w:r>
      <w:r>
        <w:rPr>
          <w:rFonts w:hint="eastAsia" w:ascii="仿宋_GB2312" w:hAnsi="Calibri" w:eastAsia="仿宋_GB2312"/>
          <w:sz w:val="32"/>
          <w:szCs w:val="32"/>
        </w:rPr>
        <w:t>》。</w:t>
      </w:r>
    </w:p>
    <w:p w14:paraId="017E8E60">
      <w:pPr>
        <w:pStyle w:val="2"/>
        <w:spacing w:before="0" w:line="580" w:lineRule="exact"/>
      </w:pPr>
      <w:r>
        <w:rPr>
          <w:rFonts w:hint="eastAsia"/>
        </w:rPr>
        <w:t>第三章　指导实施</w:t>
      </w:r>
    </w:p>
    <w:p w14:paraId="2FF8D10D">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第十八条</w:t>
      </w:r>
      <w:r>
        <w:rPr>
          <w:rFonts w:hint="eastAsia" w:ascii="仿宋_GB2312" w:hAnsi="Calibri" w:eastAsia="仿宋_GB2312"/>
          <w:sz w:val="32"/>
          <w:szCs w:val="32"/>
        </w:rPr>
        <w:t>　海外知识产权纠纷应对指导地方分中心接受指导申请后，对申请进行分类，视案件情况分为普通纠纷和重大</w:t>
      </w:r>
      <w:r>
        <w:rPr>
          <w:rFonts w:ascii="仿宋_GB2312" w:hAnsi="Calibri" w:eastAsia="仿宋_GB2312"/>
          <w:sz w:val="32"/>
          <w:szCs w:val="32"/>
        </w:rPr>
        <w:t>/</w:t>
      </w:r>
      <w:r>
        <w:rPr>
          <w:rFonts w:hint="eastAsia" w:ascii="仿宋_GB2312" w:hAnsi="Calibri" w:eastAsia="仿宋_GB2312"/>
          <w:sz w:val="32"/>
          <w:szCs w:val="32"/>
        </w:rPr>
        <w:t>疑难纠纷，并根据纠纷涉及的技术领域和专业需求选派专家并进行指导。</w:t>
      </w:r>
    </w:p>
    <w:p w14:paraId="21D1AE93">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重大</w:t>
      </w:r>
      <w:r>
        <w:rPr>
          <w:rFonts w:ascii="仿宋_GB2312" w:hAnsi="Calibri" w:eastAsia="仿宋_GB2312"/>
          <w:sz w:val="32"/>
          <w:szCs w:val="32"/>
        </w:rPr>
        <w:t>/</w:t>
      </w:r>
      <w:r>
        <w:rPr>
          <w:rFonts w:hint="eastAsia" w:ascii="仿宋_GB2312" w:hAnsi="Calibri" w:eastAsia="仿宋_GB2312"/>
          <w:sz w:val="32"/>
          <w:szCs w:val="32"/>
        </w:rPr>
        <w:t>疑难纠纷特指影响产业发展、主体复杂、数额特别巨大或波及范围较广的纠纷。</w:t>
      </w:r>
    </w:p>
    <w:p w14:paraId="7C8ECC62">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第十九条</w:t>
      </w:r>
      <w:r>
        <w:rPr>
          <w:rFonts w:ascii="仿宋_GB2312" w:hAnsi="Calibri" w:eastAsia="仿宋_GB2312"/>
          <w:sz w:val="32"/>
          <w:szCs w:val="32"/>
        </w:rPr>
        <w:t xml:space="preserve">  </w:t>
      </w:r>
      <w:r>
        <w:rPr>
          <w:rFonts w:hint="eastAsia" w:ascii="仿宋_GB2312" w:hAnsi="Calibri" w:eastAsia="仿宋_GB2312"/>
          <w:sz w:val="32"/>
          <w:szCs w:val="32"/>
        </w:rPr>
        <w:t>对普通纠纷，应当安排至少</w:t>
      </w:r>
      <w:r>
        <w:rPr>
          <w:rFonts w:ascii="仿宋_GB2312" w:hAnsi="Calibri" w:eastAsia="仿宋_GB2312"/>
          <w:sz w:val="32"/>
          <w:szCs w:val="32"/>
        </w:rPr>
        <w:t>1</w:t>
      </w:r>
      <w:r>
        <w:rPr>
          <w:rFonts w:hint="eastAsia" w:ascii="仿宋_GB2312" w:hAnsi="Calibri" w:eastAsia="仿宋_GB2312"/>
          <w:sz w:val="32"/>
          <w:szCs w:val="32"/>
        </w:rPr>
        <w:t>名指导专家进行指导，也可以由海外知识产权纠纷应对指导地方分中心根据已有纠纷应对指导经验提供法律法规、诉讼程序等一般性指导。</w:t>
      </w:r>
    </w:p>
    <w:p w14:paraId="3482F4A4">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第二十条</w:t>
      </w:r>
      <w:r>
        <w:rPr>
          <w:rFonts w:hint="eastAsia" w:ascii="仿宋_GB2312" w:hAnsi="Calibri" w:eastAsia="仿宋_GB2312"/>
          <w:sz w:val="32"/>
          <w:szCs w:val="32"/>
        </w:rPr>
        <w:t>　对重大</w:t>
      </w:r>
      <w:r>
        <w:rPr>
          <w:rFonts w:ascii="仿宋_GB2312" w:hAnsi="Calibri" w:eastAsia="仿宋_GB2312"/>
          <w:sz w:val="32"/>
          <w:szCs w:val="32"/>
        </w:rPr>
        <w:t>/</w:t>
      </w:r>
      <w:r>
        <w:rPr>
          <w:rFonts w:hint="eastAsia" w:ascii="仿宋_GB2312" w:hAnsi="Calibri" w:eastAsia="仿宋_GB2312"/>
          <w:sz w:val="32"/>
          <w:szCs w:val="32"/>
        </w:rPr>
        <w:t>疑难纠纷，应当安排3名</w:t>
      </w:r>
      <w:r>
        <w:rPr>
          <w:rFonts w:hint="eastAsia" w:ascii="仿宋_GB2312" w:hAnsi="Calibri" w:eastAsia="仿宋_GB2312"/>
          <w:bCs/>
          <w:sz w:val="32"/>
          <w:szCs w:val="32"/>
        </w:rPr>
        <w:t>及以上</w:t>
      </w:r>
      <w:r>
        <w:rPr>
          <w:rFonts w:hint="eastAsia" w:ascii="仿宋_GB2312" w:hAnsi="Calibri" w:eastAsia="仿宋_GB2312"/>
          <w:sz w:val="32"/>
          <w:szCs w:val="32"/>
        </w:rPr>
        <w:t>指导专家组建专家小组，开展业务研讨，进行专家会审，提供专门性指导。必要时，还可移交</w:t>
      </w:r>
      <w:r>
        <w:rPr>
          <w:rFonts w:hint="eastAsia" w:ascii="仿宋_GB2312" w:hAnsi="Calibri" w:eastAsia="仿宋_GB2312"/>
          <w:bCs/>
          <w:sz w:val="32"/>
          <w:szCs w:val="32"/>
        </w:rPr>
        <w:t>国家</w:t>
      </w:r>
      <w:r>
        <w:rPr>
          <w:rFonts w:hint="eastAsia" w:ascii="仿宋_GB2312" w:hAnsi="Calibri" w:eastAsia="仿宋_GB2312"/>
          <w:sz w:val="32"/>
          <w:szCs w:val="32"/>
        </w:rPr>
        <w:t>海外知识产权纠纷应对指导中心共同指导，并协调相关职能部门参与指导工作。</w:t>
      </w:r>
    </w:p>
    <w:p w14:paraId="60215BF6">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第二十一条</w:t>
      </w:r>
      <w:r>
        <w:rPr>
          <w:rFonts w:ascii="仿宋_GB2312" w:hAnsi="Calibri" w:eastAsia="仿宋_GB2312"/>
          <w:b/>
          <w:sz w:val="32"/>
          <w:szCs w:val="32"/>
        </w:rPr>
        <w:t xml:space="preserve">  </w:t>
      </w:r>
      <w:r>
        <w:rPr>
          <w:rFonts w:hint="eastAsia" w:ascii="仿宋_GB2312" w:hAnsi="Calibri" w:eastAsia="仿宋_GB2312"/>
          <w:sz w:val="32"/>
          <w:szCs w:val="32"/>
        </w:rPr>
        <w:t>确定指导专家时，可以由申请人从国家、</w:t>
      </w:r>
      <w:r>
        <w:rPr>
          <w:rFonts w:hint="eastAsia" w:ascii="仿宋_GB2312" w:hAnsi="Calibri" w:eastAsia="仿宋_GB2312"/>
          <w:bCs/>
          <w:sz w:val="32"/>
          <w:szCs w:val="32"/>
        </w:rPr>
        <w:t>北京、天津、河北</w:t>
      </w:r>
      <w:r>
        <w:rPr>
          <w:rFonts w:hint="eastAsia" w:ascii="仿宋_GB2312" w:hAnsi="Calibri" w:eastAsia="仿宋_GB2312"/>
          <w:sz w:val="32"/>
          <w:szCs w:val="32"/>
        </w:rPr>
        <w:t>有关专家库中选择符合条件的指导专家。申请人无法选择或不愿选择的，可以由海外知识产权纠纷应对指导地方分中心指定指导专家并经申请人确认。</w:t>
      </w:r>
    </w:p>
    <w:p w14:paraId="5D2F5B97">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对于组建专家小组的重大</w:t>
      </w:r>
      <w:r>
        <w:rPr>
          <w:rFonts w:ascii="仿宋_GB2312" w:hAnsi="Calibri" w:eastAsia="仿宋_GB2312"/>
          <w:sz w:val="32"/>
          <w:szCs w:val="32"/>
        </w:rPr>
        <w:t>/</w:t>
      </w:r>
      <w:r>
        <w:rPr>
          <w:rFonts w:hint="eastAsia" w:ascii="仿宋_GB2312" w:hAnsi="Calibri" w:eastAsia="仿宋_GB2312"/>
          <w:sz w:val="32"/>
          <w:szCs w:val="32"/>
        </w:rPr>
        <w:t>疑难纠纷，专家组成员中至少1名由海外知识产权纠纷应对指导地方分中心指定。</w:t>
      </w:r>
      <w:r>
        <w:rPr>
          <w:rFonts w:ascii="仿宋_GB2312" w:hAnsi="Calibri" w:eastAsia="仿宋_GB2312"/>
          <w:sz w:val="32"/>
          <w:szCs w:val="32"/>
        </w:rPr>
        <w:t xml:space="preserve"> </w:t>
      </w:r>
    </w:p>
    <w:p w14:paraId="2DA8D8FD">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第二十二条</w:t>
      </w:r>
      <w:r>
        <w:rPr>
          <w:rFonts w:hint="eastAsia" w:ascii="仿宋_GB2312" w:hAnsi="Calibri" w:eastAsia="仿宋_GB2312"/>
          <w:sz w:val="32"/>
          <w:szCs w:val="32"/>
        </w:rPr>
        <w:t>　指导专家本人或者其近亲属、其供职或者服务的企事业单位与申请人、指导事项涉及的纠纷有利害关系，可能影响其</w:t>
      </w:r>
      <w:r>
        <w:rPr>
          <w:rFonts w:hint="eastAsia" w:ascii="仿宋_GB2312" w:hAnsi="Calibri" w:eastAsia="仿宋_GB2312"/>
          <w:iCs/>
          <w:sz w:val="32"/>
          <w:szCs w:val="32"/>
        </w:rPr>
        <w:t>独立、客</w:t>
      </w:r>
      <w:r>
        <w:rPr>
          <w:rFonts w:hint="eastAsia" w:ascii="仿宋_GB2312" w:hAnsi="Calibri" w:eastAsia="仿宋_GB2312"/>
          <w:sz w:val="32"/>
          <w:szCs w:val="32"/>
        </w:rPr>
        <w:t>观、公正进行指导的，应当及时告知海外知识产权纠纷应对指导地方分中心并申请回避。</w:t>
      </w:r>
    </w:p>
    <w:p w14:paraId="49EF3910">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第二十三条</w:t>
      </w:r>
      <w:r>
        <w:rPr>
          <w:rFonts w:hint="eastAsia" w:ascii="仿宋_GB2312" w:hAnsi="Calibri" w:eastAsia="仿宋_GB2312"/>
          <w:sz w:val="32"/>
          <w:szCs w:val="32"/>
        </w:rPr>
        <w:t>　指导专家有权了解进行指导所需的材料，可以查阅和复制相关材料。</w:t>
      </w:r>
    </w:p>
    <w:p w14:paraId="29356F6B">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第二十四条</w:t>
      </w:r>
      <w:r>
        <w:rPr>
          <w:rFonts w:hint="eastAsia" w:ascii="仿宋_GB2312" w:hAnsi="Calibri" w:eastAsia="仿宋_GB2312"/>
          <w:sz w:val="32"/>
          <w:szCs w:val="32"/>
        </w:rPr>
        <w:t>　指导申请事项涉及普通纠纷的，海外知识产权纠纷应对指导地方分中心应当自接受指导申请之日起10个工作日内完成指导。</w:t>
      </w:r>
    </w:p>
    <w:p w14:paraId="2CD4184D">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指导申请事项涉及重大/疑难纠纷的，海外知识产权纠纷应对指导地方分中心应当自接受指导申请之日起20个工作日内完成指导。指导过程确需较长时间的，经海外知识产权纠纷应对指导地方分中心负责人批准，完成指导的时限可以延长。指导时限延长的，应当及时告知申请人。</w:t>
      </w:r>
    </w:p>
    <w:p w14:paraId="5694D989">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海外知识产权纠纷应对指导地方分中心与申请人对指导时限另有约定的，从其约定。</w:t>
      </w:r>
    </w:p>
    <w:p w14:paraId="3C871622">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在指导过程中补充或者重新提取材料所需的时间，不计入指导时限。</w:t>
      </w:r>
    </w:p>
    <w:p w14:paraId="472792BD">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第二十五条</w:t>
      </w:r>
      <w:r>
        <w:rPr>
          <w:rFonts w:hint="eastAsia" w:ascii="仿宋_GB2312" w:hAnsi="Calibri" w:eastAsia="仿宋_GB2312"/>
          <w:sz w:val="32"/>
          <w:szCs w:val="32"/>
        </w:rPr>
        <w:t>　在指导过程中，有下列情形之一的，海外知识产权纠纷应对指导地方分中心可以终止指导程序：</w:t>
      </w:r>
    </w:p>
    <w:p w14:paraId="0BC1806C">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（一）发现有本规定第十五条第二项和第三项规定情形的；</w:t>
      </w:r>
    </w:p>
    <w:p w14:paraId="27192EF9">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（二）申请人拒不履行指导申请书中规定的义务或者指导业务受到严重干扰，致使指导无法继续进行的；</w:t>
      </w:r>
    </w:p>
    <w:p w14:paraId="05E5E9B3">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（三）申请人主动撤销指导申请；</w:t>
      </w:r>
    </w:p>
    <w:p w14:paraId="7D6250B8">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（四）因不可抗力致使指导无法继续进行的；</w:t>
      </w:r>
    </w:p>
    <w:p w14:paraId="2DBE054B">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（五）其他需要终止指导的情形。</w:t>
      </w:r>
    </w:p>
    <w:p w14:paraId="3B7DC879">
      <w:pPr>
        <w:widowControl/>
        <w:adjustRightInd w:val="0"/>
        <w:snapToGrid w:val="0"/>
        <w:spacing w:line="58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终止指导的，海外知识产权纠纷应对指导地方分中心应当发出《终止指导通知书》书面通知申请人并说明理由。</w:t>
      </w:r>
    </w:p>
    <w:p w14:paraId="4AC69651">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第二十六条</w:t>
      </w:r>
      <w:r>
        <w:rPr>
          <w:rFonts w:hint="eastAsia" w:ascii="仿宋_GB2312" w:hAnsi="Calibri" w:eastAsia="仿宋_GB2312"/>
          <w:sz w:val="32"/>
          <w:szCs w:val="32"/>
        </w:rPr>
        <w:t>　有下列情形之一的，海外知识产权纠纷应对指导地方分中心可以根据申请人的要求进行补充指导：</w:t>
      </w:r>
    </w:p>
    <w:p w14:paraId="1B8D76DC">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（一）原指导申请事项有遗漏的；</w:t>
      </w:r>
    </w:p>
    <w:p w14:paraId="47311469">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（二）申请人就原指导申请事项提供新的材料的；</w:t>
      </w:r>
    </w:p>
    <w:p w14:paraId="10F70B4F">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（三）其他需要补充指导的情形。</w:t>
      </w:r>
    </w:p>
    <w:p w14:paraId="1F6DEF8D">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补充指导是原指导的组成部分，应当由原指导专家进行。</w:t>
      </w:r>
    </w:p>
    <w:p w14:paraId="580BD19A">
      <w:pPr>
        <w:pStyle w:val="2"/>
        <w:spacing w:before="0" w:line="580" w:lineRule="exact"/>
      </w:pPr>
      <w:r>
        <w:rPr>
          <w:rFonts w:hint="eastAsia"/>
        </w:rPr>
        <w:t>第四章　指导意见书出具</w:t>
      </w:r>
    </w:p>
    <w:p w14:paraId="6D429474">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第二十七条</w:t>
      </w:r>
      <w:r>
        <w:rPr>
          <w:rFonts w:hint="eastAsia" w:ascii="仿宋_GB2312" w:hAnsi="Calibri" w:eastAsia="仿宋_GB2312"/>
          <w:sz w:val="32"/>
          <w:szCs w:val="32"/>
        </w:rPr>
        <w:t>　根据指导情况，由指导专家出具纠纷应对指导专家意见，并由指导专家签名。多人参加的指导，对指导意见有不同意见的，应当注明。</w:t>
      </w:r>
    </w:p>
    <w:p w14:paraId="2289EAA9">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海外知识产权纠纷应对指导地方分中心汇总专家意见，出具《</w:t>
      </w:r>
      <w:r>
        <w:rPr>
          <w:rFonts w:hint="eastAsia" w:ascii="仿宋_GB2312" w:hAnsi="Calibri" w:eastAsia="仿宋_GB2312"/>
          <w:bCs/>
          <w:sz w:val="32"/>
          <w:szCs w:val="32"/>
        </w:rPr>
        <w:t>海外知识产权</w:t>
      </w:r>
      <w:r>
        <w:rPr>
          <w:rFonts w:hint="eastAsia" w:ascii="仿宋_GB2312" w:hAnsi="Calibri" w:eastAsia="仿宋_GB2312"/>
          <w:sz w:val="32"/>
          <w:szCs w:val="32"/>
        </w:rPr>
        <w:t>纠纷应对指导意见书》。</w:t>
      </w:r>
    </w:p>
    <w:p w14:paraId="36829AFB">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第二十八条　</w:t>
      </w:r>
      <w:r>
        <w:rPr>
          <w:rFonts w:hint="eastAsia" w:ascii="仿宋_GB2312" w:hAnsi="Calibri" w:eastAsia="仿宋_GB2312"/>
          <w:sz w:val="32"/>
          <w:szCs w:val="32"/>
        </w:rPr>
        <w:t>《</w:t>
      </w:r>
      <w:r>
        <w:rPr>
          <w:rFonts w:hint="eastAsia" w:ascii="仿宋_GB2312" w:hAnsi="Calibri" w:eastAsia="仿宋_GB2312"/>
          <w:bCs/>
          <w:sz w:val="32"/>
          <w:szCs w:val="32"/>
        </w:rPr>
        <w:t>海外知识产权</w:t>
      </w:r>
      <w:r>
        <w:rPr>
          <w:rFonts w:hint="eastAsia" w:ascii="仿宋_GB2312" w:hAnsi="Calibri" w:eastAsia="仿宋_GB2312"/>
          <w:sz w:val="32"/>
          <w:szCs w:val="32"/>
        </w:rPr>
        <w:t>纠纷应对指导意见书》一式两份，一份交申请人收执，一份由海外知识产权纠纷应对指导地方分中心存档。</w:t>
      </w:r>
    </w:p>
    <w:p w14:paraId="731FF108">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第二十九条　</w:t>
      </w:r>
      <w:r>
        <w:rPr>
          <w:rFonts w:hint="eastAsia" w:ascii="仿宋_GB2312" w:hAnsi="Calibri" w:eastAsia="仿宋_GB2312"/>
          <w:sz w:val="32"/>
          <w:szCs w:val="32"/>
        </w:rPr>
        <w:t>海外知识产权纠纷应对指导地方分中心应当将纠纷应对指导意见和专家意见告知申请人，并按照申请人需求的方式向申请人提供《</w:t>
      </w:r>
      <w:r>
        <w:rPr>
          <w:rFonts w:hint="eastAsia" w:ascii="仿宋_GB2312" w:hAnsi="Calibri" w:eastAsia="仿宋_GB2312"/>
          <w:bCs/>
          <w:sz w:val="32"/>
          <w:szCs w:val="32"/>
        </w:rPr>
        <w:t>海外知识产权</w:t>
      </w:r>
      <w:r>
        <w:rPr>
          <w:rFonts w:hint="eastAsia" w:ascii="仿宋_GB2312" w:hAnsi="Calibri" w:eastAsia="仿宋_GB2312"/>
          <w:sz w:val="32"/>
          <w:szCs w:val="32"/>
        </w:rPr>
        <w:t>纠纷应对指导意见书》。</w:t>
      </w:r>
    </w:p>
    <w:p w14:paraId="34FFA225">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第三十条</w:t>
      </w:r>
      <w:r>
        <w:rPr>
          <w:rFonts w:hint="eastAsia" w:ascii="仿宋_GB2312" w:hAnsi="Calibri" w:eastAsia="仿宋_GB2312"/>
          <w:sz w:val="32"/>
          <w:szCs w:val="32"/>
        </w:rPr>
        <w:t>　申请人对指导过程、指导意见提出询问的，海外知识产权纠纷应对指导地方分中心和指导专家应当给予解释或者说明。</w:t>
      </w:r>
    </w:p>
    <w:p w14:paraId="08CF1707">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第三十一条　</w:t>
      </w:r>
      <w:r>
        <w:rPr>
          <w:rFonts w:hint="eastAsia" w:ascii="仿宋_GB2312" w:hAnsi="Calibri" w:eastAsia="仿宋_GB2312"/>
          <w:sz w:val="32"/>
          <w:szCs w:val="32"/>
        </w:rPr>
        <w:t>纠纷应对指导结束后，申请人对同一案件的不同事项再次提出应对指导申请的，应当根据新的需求提出新的申请，可以延用上一次应对指导选用的专家，也可以根据实际情况选用新的专家。</w:t>
      </w:r>
    </w:p>
    <w:p w14:paraId="1BFF0277">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第三十二条　</w:t>
      </w:r>
      <w:r>
        <w:rPr>
          <w:rFonts w:hint="eastAsia" w:ascii="仿宋_GB2312" w:hAnsi="Calibri" w:eastAsia="仿宋_GB2312"/>
          <w:sz w:val="32"/>
          <w:szCs w:val="32"/>
        </w:rPr>
        <w:t>海外知识产权纠纷应对指导地方分中心应当持续跟踪纠纷进程，为申请人应对纠纷持续提供公共服务，总结归纳有关经验做法，形成典型案例、制度解读等公共服务产品。</w:t>
      </w:r>
    </w:p>
    <w:p w14:paraId="7E809E4E">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第三十三条　</w:t>
      </w:r>
      <w:r>
        <w:rPr>
          <w:rFonts w:hint="eastAsia" w:ascii="仿宋_GB2312" w:hAnsi="Calibri" w:eastAsia="仿宋_GB2312"/>
          <w:sz w:val="32"/>
          <w:szCs w:val="32"/>
        </w:rPr>
        <w:t>海外知识产权纠纷应对指导地方分中心主动监测发现的海外知识产权纠纷，应当积极联系涉案市场主体告知服务举措和资源，并在海外知识产权纠纷应对指导地方分中心指导能力或者技术条件内提供主动指导。</w:t>
      </w:r>
    </w:p>
    <w:p w14:paraId="6E23D8DD">
      <w:pPr>
        <w:pStyle w:val="2"/>
        <w:spacing w:before="0" w:line="580" w:lineRule="exact"/>
      </w:pPr>
      <w:r>
        <w:rPr>
          <w:rFonts w:hint="eastAsia"/>
        </w:rPr>
        <w:t>第五章　附</w:t>
      </w:r>
      <w:r>
        <w:t xml:space="preserve">  </w:t>
      </w:r>
      <w:r>
        <w:rPr>
          <w:rFonts w:hint="eastAsia"/>
        </w:rPr>
        <w:t>则</w:t>
      </w:r>
    </w:p>
    <w:p w14:paraId="6329183E">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第三十</w:t>
      </w:r>
      <w:r>
        <w:rPr>
          <w:rFonts w:hint="eastAsia" w:ascii="仿宋_GB2312" w:hAnsi="楷体" w:eastAsia="仿宋_GB2312" w:cs="楷体"/>
          <w:b/>
          <w:bCs/>
          <w:sz w:val="32"/>
          <w:szCs w:val="32"/>
        </w:rPr>
        <w:t>四</w:t>
      </w:r>
      <w:r>
        <w:rPr>
          <w:rFonts w:hint="eastAsia" w:ascii="仿宋_GB2312" w:hAnsi="Calibri" w:eastAsia="仿宋_GB2312"/>
          <w:b/>
          <w:sz w:val="32"/>
          <w:szCs w:val="32"/>
        </w:rPr>
        <w:t>条</w:t>
      </w:r>
      <w:r>
        <w:rPr>
          <w:rFonts w:hint="eastAsia" w:ascii="仿宋_GB2312" w:hAnsi="Calibri" w:eastAsia="仿宋_GB2312"/>
          <w:sz w:val="32"/>
          <w:szCs w:val="32"/>
        </w:rPr>
        <w:t>　本规程是海外知识产权纠纷应对指导地方分中心和指导专家进行指导业务应当遵守和采用的一般程序规则，不同纠纷类型或涉及区域协作对指导程序有特殊要求的，可以依据本规定制定指导程序细则。</w:t>
      </w:r>
    </w:p>
    <w:p w14:paraId="23FB1FD0">
      <w:pPr>
        <w:adjustRightInd w:val="0"/>
        <w:snapToGrid w:val="0"/>
        <w:spacing w:line="5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第三十五条</w:t>
      </w:r>
      <w:r>
        <w:rPr>
          <w:rFonts w:hint="eastAsia" w:ascii="仿宋_GB2312" w:hAnsi="Calibri" w:eastAsia="仿宋_GB2312"/>
          <w:sz w:val="32"/>
          <w:szCs w:val="32"/>
        </w:rPr>
        <w:t>　海外知识产权纠纷应对指导专家的管理另行规定。</w:t>
      </w:r>
    </w:p>
    <w:p w14:paraId="0C4EF81C">
      <w:pPr>
        <w:adjustRightInd w:val="0"/>
        <w:snapToGrid w:val="0"/>
        <w:spacing w:line="58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第三十六条</w:t>
      </w:r>
      <w:r>
        <w:rPr>
          <w:rFonts w:hint="eastAsia" w:ascii="仿宋_GB2312" w:hAnsi="Calibri" w:eastAsia="仿宋_GB2312"/>
          <w:sz w:val="32"/>
          <w:szCs w:val="32"/>
        </w:rPr>
        <w:t>　海外知识产权纠纷应对指导地方分中心应当按照档案管理的有关规定，做好海外知识产权纠纷应对指导案件档案的收集、归档、保管和使用工作。</w:t>
      </w:r>
    </w:p>
    <w:p w14:paraId="29F2BCBA">
      <w:pPr>
        <w:adjustRightInd w:val="0"/>
        <w:snapToGrid w:val="0"/>
        <w:spacing w:line="58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第三十七条</w:t>
      </w:r>
      <w:r>
        <w:rPr>
          <w:rFonts w:hint="eastAsia" w:ascii="仿宋_GB2312" w:hAnsi="Calibri" w:eastAsia="仿宋_GB2312"/>
          <w:sz w:val="32"/>
          <w:szCs w:val="32"/>
        </w:rPr>
        <w:t>　本规程由京津冀三地海外知识产权纠纷应对指导分中心联合印发，并</w:t>
      </w:r>
      <w:r>
        <w:rPr>
          <w:rFonts w:hint="eastAsia" w:ascii="仿宋_GB2312" w:eastAsia="仿宋_GB2312"/>
          <w:sz w:val="32"/>
          <w:szCs w:val="32"/>
        </w:rPr>
        <w:t>自印发之日起生效。</w:t>
      </w:r>
    </w:p>
    <w:p w14:paraId="032C27D6">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京津冀三地海外</w:t>
      </w:r>
      <w:r>
        <w:rPr>
          <w:rFonts w:hint="eastAsia" w:ascii="仿宋_GB2312" w:hAnsi="Calibri" w:eastAsia="仿宋_GB2312"/>
          <w:sz w:val="32"/>
          <w:szCs w:val="32"/>
        </w:rPr>
        <w:t>知识产权纠纷应对指导分中心可在此规程的基础上，结合各地实际单独制定程序规程</w:t>
      </w:r>
      <w:r>
        <w:rPr>
          <w:rFonts w:hint="eastAsia" w:ascii="仿宋_GB2312" w:eastAsia="仿宋_GB2312"/>
          <w:sz w:val="32"/>
          <w:szCs w:val="32"/>
        </w:rPr>
        <w:t>。各地方规定与本规程不一致的，以本规程为准。</w:t>
      </w:r>
    </w:p>
    <w:p w14:paraId="7DBE15DE">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本附件中还包含以下附件。</w:t>
      </w:r>
    </w:p>
    <w:p w14:paraId="5988CDB5">
      <w:pPr>
        <w:adjustRightInd w:val="0"/>
        <w:snapToGrid w:val="0"/>
        <w:spacing w:line="580" w:lineRule="exact"/>
        <w:ind w:firstLine="640" w:firstLineChars="200"/>
        <w:rPr>
          <w:rFonts w:ascii="仿宋_GB2312" w:hAnsi="Calibri" w:eastAsia="仿宋_GB2312"/>
          <w:sz w:val="32"/>
          <w:szCs w:val="32"/>
        </w:rPr>
      </w:pPr>
    </w:p>
    <w:p w14:paraId="7626AE8E">
      <w:pPr>
        <w:adjustRightInd w:val="0"/>
        <w:snapToGrid w:val="0"/>
        <w:spacing w:line="580" w:lineRule="exact"/>
        <w:ind w:firstLine="640" w:firstLineChars="200"/>
        <w:rPr>
          <w:rFonts w:ascii="仿宋_GB2312" w:hAnsi="Calibri" w:eastAsia="仿宋_GB2312"/>
          <w:sz w:val="32"/>
          <w:szCs w:val="32"/>
        </w:rPr>
      </w:pPr>
      <w:r>
        <w:rPr>
          <w:rFonts w:hint="eastAsia" w:ascii="仿宋_GB2312" w:hAnsi="Calibri" w:eastAsia="仿宋_GB2312"/>
          <w:sz w:val="32"/>
          <w:szCs w:val="32"/>
        </w:rPr>
        <w:t xml:space="preserve">附件：1.海外知识产权纠纷应对指导申请书 </w:t>
      </w:r>
    </w:p>
    <w:p w14:paraId="7C42C62B">
      <w:pPr>
        <w:adjustRightInd w:val="0"/>
        <w:snapToGrid w:val="0"/>
        <w:spacing w:line="580" w:lineRule="exact"/>
        <w:ind w:firstLine="1600" w:firstLineChars="500"/>
        <w:rPr>
          <w:rFonts w:ascii="仿宋_GB2312" w:hAnsi="Calibri" w:eastAsia="仿宋_GB2312"/>
          <w:sz w:val="32"/>
          <w:szCs w:val="32"/>
        </w:rPr>
      </w:pPr>
      <w:r>
        <w:rPr>
          <w:rFonts w:hint="eastAsia" w:ascii="仿宋_GB2312" w:hAnsi="Calibri" w:eastAsia="仿宋_GB2312"/>
          <w:sz w:val="32"/>
          <w:szCs w:val="32"/>
        </w:rPr>
        <w:t>2.受理通知书</w:t>
      </w:r>
    </w:p>
    <w:p w14:paraId="6E690D8C">
      <w:pPr>
        <w:adjustRightInd w:val="0"/>
        <w:snapToGrid w:val="0"/>
        <w:spacing w:line="580" w:lineRule="exact"/>
        <w:ind w:firstLine="1600" w:firstLineChars="500"/>
        <w:rPr>
          <w:rFonts w:ascii="仿宋_GB2312" w:hAnsi="Calibri" w:eastAsia="仿宋_GB2312"/>
          <w:sz w:val="32"/>
          <w:szCs w:val="32"/>
        </w:rPr>
      </w:pPr>
      <w:r>
        <w:rPr>
          <w:rFonts w:hint="eastAsia" w:ascii="仿宋_GB2312" w:hAnsi="Calibri" w:eastAsia="仿宋_GB2312"/>
          <w:sz w:val="32"/>
          <w:szCs w:val="32"/>
        </w:rPr>
        <w:t>3.不予受理通知书</w:t>
      </w:r>
    </w:p>
    <w:p w14:paraId="452DB607">
      <w:pPr>
        <w:adjustRightInd w:val="0"/>
        <w:snapToGrid w:val="0"/>
        <w:spacing w:line="580" w:lineRule="exact"/>
        <w:ind w:firstLine="1600" w:firstLineChars="500"/>
        <w:rPr>
          <w:rFonts w:ascii="仿宋_GB2312" w:hAnsi="Calibri" w:eastAsia="仿宋_GB2312"/>
          <w:sz w:val="32"/>
          <w:szCs w:val="32"/>
        </w:rPr>
      </w:pPr>
      <w:r>
        <w:rPr>
          <w:rFonts w:hint="eastAsia" w:ascii="仿宋_GB2312" w:hAnsi="Calibri" w:eastAsia="仿宋_GB2312"/>
          <w:sz w:val="32"/>
          <w:szCs w:val="32"/>
        </w:rPr>
        <w:t>4.补充材料通知书</w:t>
      </w:r>
    </w:p>
    <w:p w14:paraId="6E07A032">
      <w:pPr>
        <w:adjustRightInd w:val="0"/>
        <w:snapToGrid w:val="0"/>
        <w:spacing w:line="580" w:lineRule="exact"/>
        <w:ind w:firstLine="1600" w:firstLineChars="500"/>
        <w:rPr>
          <w:rFonts w:ascii="仿宋_GB2312" w:hAnsi="Calibri" w:eastAsia="仿宋_GB2312"/>
          <w:sz w:val="32"/>
          <w:szCs w:val="32"/>
        </w:rPr>
      </w:pPr>
      <w:r>
        <w:rPr>
          <w:rFonts w:hint="eastAsia" w:ascii="仿宋_GB2312" w:hAnsi="Calibri" w:eastAsia="仿宋_GB2312"/>
          <w:sz w:val="32"/>
          <w:szCs w:val="32"/>
        </w:rPr>
        <w:t>5.终止指导通知书</w:t>
      </w:r>
    </w:p>
    <w:p w14:paraId="56BC728F">
      <w:pPr>
        <w:adjustRightInd w:val="0"/>
        <w:snapToGrid w:val="0"/>
        <w:spacing w:line="580" w:lineRule="exact"/>
        <w:ind w:firstLine="1600" w:firstLineChars="500"/>
        <w:rPr>
          <w:rFonts w:ascii="仿宋_GB2312" w:hAnsi="Calibri" w:eastAsia="仿宋_GB2312"/>
          <w:sz w:val="32"/>
          <w:szCs w:val="32"/>
        </w:rPr>
      </w:pPr>
      <w:r>
        <w:rPr>
          <w:rFonts w:hint="eastAsia" w:ascii="仿宋_GB2312" w:hAnsi="Calibri" w:eastAsia="仿宋_GB2312"/>
          <w:sz w:val="32"/>
          <w:szCs w:val="32"/>
        </w:rPr>
        <w:t>6.海外知识产权纠纷应对指导意见书</w:t>
      </w:r>
    </w:p>
    <w:p w14:paraId="2ED89E30">
      <w:pPr>
        <w:widowControl/>
        <w:spacing w:line="580" w:lineRule="exact"/>
        <w:jc w:val="left"/>
        <w:rPr>
          <w:rFonts w:asciiTheme="majorHAnsi" w:hAnsiTheme="majorHAnsi" w:eastAsiaTheme="majorEastAsia" w:cstheme="majorBidi"/>
          <w:b/>
          <w:bCs/>
          <w:sz w:val="32"/>
          <w:szCs w:val="32"/>
        </w:rPr>
      </w:pPr>
      <w:r>
        <w:br w:type="page"/>
      </w:r>
    </w:p>
    <w:p w14:paraId="3173BDD9">
      <w:pPr>
        <w:rPr>
          <w:rFonts w:ascii="黑体" w:hAnsi="黑体" w:eastAsia="黑体"/>
          <w:sz w:val="32"/>
          <w:szCs w:val="32"/>
        </w:rPr>
      </w:pPr>
      <w:r>
        <w:rPr>
          <w:rFonts w:hint="eastAsia" w:ascii="黑体" w:hAnsi="黑体" w:eastAsia="黑体"/>
          <w:sz w:val="32"/>
          <w:szCs w:val="32"/>
        </w:rPr>
        <w:t>附件1</w:t>
      </w:r>
    </w:p>
    <w:p w14:paraId="0D83FA16">
      <w:pPr>
        <w:pStyle w:val="7"/>
        <w:spacing w:line="400" w:lineRule="exact"/>
        <w:jc w:val="center"/>
        <w:outlineLvl w:val="0"/>
        <w:rPr>
          <w:rFonts w:ascii="方正小标宋简体" w:eastAsia="方正小标宋简体"/>
          <w:sz w:val="44"/>
        </w:rPr>
      </w:pPr>
    </w:p>
    <w:p w14:paraId="5D9D3096">
      <w:pPr>
        <w:pStyle w:val="7"/>
        <w:spacing w:line="600" w:lineRule="exact"/>
        <w:jc w:val="center"/>
        <w:outlineLvl w:val="0"/>
        <w:rPr>
          <w:rFonts w:ascii="方正小标宋简体" w:eastAsia="方正小标宋简体"/>
          <w:sz w:val="44"/>
        </w:rPr>
      </w:pPr>
      <w:r>
        <w:rPr>
          <w:rFonts w:hint="eastAsia" w:ascii="方正小标宋简体" w:eastAsia="方正小标宋简体"/>
          <w:sz w:val="44"/>
        </w:rPr>
        <w:t>海外知识产权纠纷应对指导申请书</w:t>
      </w:r>
    </w:p>
    <w:tbl>
      <w:tblPr>
        <w:tblStyle w:val="52"/>
        <w:tblW w:w="8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2137"/>
        <w:gridCol w:w="657"/>
        <w:gridCol w:w="1320"/>
        <w:gridCol w:w="480"/>
        <w:gridCol w:w="2297"/>
      </w:tblGrid>
      <w:tr w14:paraId="4EE5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0B3FF459">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申请人名称</w:t>
            </w:r>
          </w:p>
        </w:tc>
        <w:tc>
          <w:tcPr>
            <w:tcW w:w="6891" w:type="dxa"/>
            <w:gridSpan w:val="5"/>
            <w:vAlign w:val="center"/>
          </w:tcPr>
          <w:p w14:paraId="6FCEC4C5">
            <w:pPr>
              <w:pStyle w:val="51"/>
              <w:kinsoku w:val="0"/>
              <w:overflowPunct w:val="0"/>
              <w:autoSpaceDE w:val="0"/>
              <w:autoSpaceDN w:val="0"/>
              <w:adjustRightInd w:val="0"/>
              <w:snapToGrid w:val="0"/>
              <w:ind w:left="105" w:leftChars="50"/>
              <w:rPr>
                <w:rFonts w:ascii="仿宋_GB2312" w:eastAsia="仿宋_GB2312"/>
                <w:kern w:val="0"/>
                <w:sz w:val="28"/>
                <w:szCs w:val="28"/>
                <w:lang w:eastAsia="en-US"/>
              </w:rPr>
            </w:pPr>
          </w:p>
        </w:tc>
      </w:tr>
      <w:tr w14:paraId="1FDA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6052B8CC">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申请人信息</w:t>
            </w:r>
          </w:p>
        </w:tc>
        <w:tc>
          <w:tcPr>
            <w:tcW w:w="6891" w:type="dxa"/>
            <w:gridSpan w:val="5"/>
            <w:vAlign w:val="center"/>
          </w:tcPr>
          <w:p w14:paraId="6F56B133">
            <w:pPr>
              <w:pStyle w:val="51"/>
              <w:kinsoku w:val="0"/>
              <w:overflowPunct w:val="0"/>
              <w:autoSpaceDE w:val="0"/>
              <w:autoSpaceDN w:val="0"/>
              <w:adjustRightInd w:val="0"/>
              <w:snapToGrid w:val="0"/>
              <w:ind w:left="105" w:leftChars="50"/>
              <w:rPr>
                <w:rFonts w:ascii="仿宋_GB2312" w:eastAsia="仿宋_GB2312"/>
                <w:kern w:val="0"/>
                <w:sz w:val="28"/>
                <w:szCs w:val="28"/>
                <w:lang w:eastAsia="zh-CN"/>
              </w:rPr>
            </w:pPr>
            <w:r>
              <w:rPr>
                <w:rFonts w:hint="eastAsia" w:ascii="仿宋_GB2312" w:eastAsia="仿宋_GB2312"/>
                <w:kern w:val="0"/>
                <w:sz w:val="28"/>
                <w:szCs w:val="28"/>
                <w:lang w:eastAsia="zh-CN"/>
              </w:rPr>
              <w:t>（请填写组织机构代码或身份证号码）</w:t>
            </w:r>
          </w:p>
        </w:tc>
      </w:tr>
      <w:tr w14:paraId="1E9A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1903" w:type="dxa"/>
            <w:vAlign w:val="center"/>
          </w:tcPr>
          <w:p w14:paraId="4940FD0D">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zh-CN"/>
              </w:rPr>
            </w:pPr>
            <w:r>
              <w:rPr>
                <w:rFonts w:hint="eastAsia" w:ascii="黑体" w:hAnsi="黑体" w:eastAsia="黑体"/>
                <w:kern w:val="0"/>
                <w:sz w:val="28"/>
                <w:szCs w:val="28"/>
                <w:lang w:eastAsia="zh-CN"/>
              </w:rPr>
              <w:t>纠纷应对指导申请人类别</w:t>
            </w:r>
          </w:p>
        </w:tc>
        <w:tc>
          <w:tcPr>
            <w:tcW w:w="6891" w:type="dxa"/>
            <w:gridSpan w:val="5"/>
            <w:vAlign w:val="center"/>
          </w:tcPr>
          <w:p w14:paraId="52BE0419">
            <w:pPr>
              <w:pStyle w:val="51"/>
              <w:tabs>
                <w:tab w:val="left" w:pos="323"/>
                <w:tab w:val="left" w:pos="1094"/>
                <w:tab w:val="left" w:pos="2431"/>
                <w:tab w:val="left" w:pos="3766"/>
              </w:tabs>
              <w:kinsoku w:val="0"/>
              <w:overflowPunct w:val="0"/>
              <w:autoSpaceDE w:val="0"/>
              <w:autoSpaceDN w:val="0"/>
              <w:adjustRightInd w:val="0"/>
              <w:snapToGrid w:val="0"/>
              <w:ind w:left="105" w:leftChars="50"/>
              <w:rPr>
                <w:rFonts w:ascii="仿宋_GB2312" w:eastAsia="仿宋_GB2312"/>
                <w:kern w:val="0"/>
                <w:sz w:val="28"/>
                <w:szCs w:val="28"/>
                <w:lang w:eastAsia="zh-CN"/>
              </w:rPr>
            </w:pPr>
            <w:r>
              <w:rPr>
                <w:rFonts w:hint="eastAsia" w:ascii="仿宋" w:hAnsi="Wingdings 2" w:eastAsia="仿宋"/>
                <w:spacing w:val="-6"/>
                <w:kern w:val="0"/>
                <w:sz w:val="28"/>
                <w:szCs w:val="28"/>
                <w:lang w:eastAsia="en-US"/>
              </w:rPr>
              <w:sym w:font="Wingdings 2" w:char="F0A3"/>
            </w:r>
            <w:r>
              <w:rPr>
                <w:rFonts w:hint="eastAsia" w:ascii="仿宋_GB2312" w:eastAsia="仿宋_GB2312"/>
                <w:kern w:val="0"/>
                <w:sz w:val="28"/>
                <w:szCs w:val="28"/>
                <w:lang w:eastAsia="zh-CN"/>
              </w:rPr>
              <w:t>企业</w:t>
            </w:r>
            <w:r>
              <w:rPr>
                <w:rFonts w:hint="eastAsia" w:ascii="仿宋_GB2312" w:eastAsia="仿宋_GB2312"/>
                <w:kern w:val="0"/>
                <w:sz w:val="28"/>
                <w:szCs w:val="28"/>
                <w:lang w:eastAsia="zh-CN"/>
              </w:rPr>
              <w:tab/>
            </w:r>
            <w:r>
              <w:rPr>
                <w:rFonts w:hint="eastAsia" w:ascii="仿宋" w:hAnsi="Wingdings 2" w:eastAsia="仿宋"/>
                <w:spacing w:val="-6"/>
                <w:kern w:val="0"/>
                <w:sz w:val="28"/>
                <w:szCs w:val="28"/>
                <w:lang w:eastAsia="en-US"/>
              </w:rPr>
              <w:sym w:font="Wingdings 2" w:char="F0A3"/>
            </w:r>
            <w:r>
              <w:rPr>
                <w:rFonts w:hint="eastAsia" w:ascii="仿宋_GB2312" w:eastAsia="仿宋_GB2312"/>
                <w:kern w:val="0"/>
                <w:sz w:val="28"/>
                <w:szCs w:val="28"/>
                <w:lang w:eastAsia="zh-CN"/>
              </w:rPr>
              <w:t xml:space="preserve">社会团体  </w:t>
            </w:r>
            <w:r>
              <w:rPr>
                <w:rFonts w:hint="eastAsia" w:ascii="仿宋" w:hAnsi="Wingdings 2" w:eastAsia="仿宋"/>
                <w:spacing w:val="-6"/>
                <w:kern w:val="0"/>
                <w:sz w:val="28"/>
                <w:szCs w:val="28"/>
                <w:lang w:eastAsia="en-US"/>
              </w:rPr>
              <w:sym w:font="Wingdings 2" w:char="F0A3"/>
            </w:r>
            <w:r>
              <w:rPr>
                <w:rFonts w:hint="eastAsia" w:ascii="仿宋_GB2312" w:eastAsia="仿宋_GB2312"/>
                <w:kern w:val="0"/>
                <w:sz w:val="28"/>
                <w:szCs w:val="28"/>
                <w:lang w:eastAsia="zh-CN"/>
              </w:rPr>
              <w:t xml:space="preserve">科研院所  </w:t>
            </w:r>
            <w:r>
              <w:rPr>
                <w:rFonts w:hint="eastAsia" w:ascii="仿宋" w:hAnsi="Wingdings 2" w:eastAsia="仿宋"/>
                <w:spacing w:val="-6"/>
                <w:kern w:val="0"/>
                <w:sz w:val="28"/>
                <w:szCs w:val="28"/>
                <w:lang w:eastAsia="en-US"/>
              </w:rPr>
              <w:sym w:font="Wingdings 2" w:char="F0A3"/>
            </w:r>
            <w:r>
              <w:rPr>
                <w:rFonts w:hint="eastAsia" w:ascii="仿宋_GB2312" w:eastAsia="仿宋_GB2312"/>
                <w:kern w:val="0"/>
                <w:sz w:val="28"/>
                <w:szCs w:val="28"/>
                <w:lang w:eastAsia="zh-CN"/>
              </w:rPr>
              <w:t xml:space="preserve">个人  </w:t>
            </w:r>
            <w:r>
              <w:rPr>
                <w:rFonts w:hint="eastAsia" w:ascii="仿宋" w:hAnsi="Wingdings 2" w:eastAsia="仿宋"/>
                <w:spacing w:val="-6"/>
                <w:kern w:val="0"/>
                <w:sz w:val="28"/>
                <w:szCs w:val="28"/>
                <w:lang w:eastAsia="en-US"/>
              </w:rPr>
              <w:sym w:font="Wingdings 2" w:char="F0A3"/>
            </w:r>
            <w:r>
              <w:rPr>
                <w:rFonts w:hint="eastAsia" w:ascii="仿宋_GB2312" w:eastAsia="仿宋_GB2312"/>
                <w:kern w:val="0"/>
                <w:sz w:val="28"/>
                <w:szCs w:val="28"/>
                <w:lang w:eastAsia="zh-CN"/>
              </w:rPr>
              <w:t>其他</w:t>
            </w:r>
          </w:p>
        </w:tc>
      </w:tr>
      <w:tr w14:paraId="7A523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29A5431A">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申请人规模</w:t>
            </w:r>
          </w:p>
        </w:tc>
        <w:tc>
          <w:tcPr>
            <w:tcW w:w="6891" w:type="dxa"/>
            <w:gridSpan w:val="5"/>
            <w:vAlign w:val="center"/>
          </w:tcPr>
          <w:p w14:paraId="4356AFB9">
            <w:pPr>
              <w:pStyle w:val="51"/>
              <w:kinsoku w:val="0"/>
              <w:overflowPunct w:val="0"/>
              <w:autoSpaceDE w:val="0"/>
              <w:autoSpaceDN w:val="0"/>
              <w:adjustRightInd w:val="0"/>
              <w:snapToGrid w:val="0"/>
              <w:ind w:firstLine="120" w:firstLineChars="50"/>
              <w:rPr>
                <w:rFonts w:ascii="仿宋_GB2312" w:eastAsia="仿宋_GB2312"/>
                <w:spacing w:val="-20"/>
                <w:kern w:val="0"/>
                <w:sz w:val="28"/>
                <w:szCs w:val="28"/>
                <w:lang w:eastAsia="en-US"/>
              </w:rPr>
            </w:pPr>
            <w:r>
              <w:rPr>
                <w:rFonts w:hint="eastAsia" w:ascii="仿宋_GB2312" w:eastAsia="仿宋_GB2312"/>
                <w:spacing w:val="-20"/>
                <w:kern w:val="0"/>
                <w:sz w:val="28"/>
                <w:szCs w:val="28"/>
                <w:lang w:eastAsia="en-US"/>
              </w:rPr>
              <w:sym w:font="Wingdings 2" w:char="F0A3"/>
            </w:r>
            <w:r>
              <w:rPr>
                <w:rFonts w:ascii="仿宋_GB2312" w:eastAsia="仿宋_GB2312"/>
                <w:spacing w:val="-20"/>
                <w:kern w:val="0"/>
                <w:sz w:val="28"/>
                <w:szCs w:val="28"/>
                <w:lang w:eastAsia="en-US"/>
              </w:rPr>
              <w:t xml:space="preserve">100 </w:t>
            </w:r>
            <w:r>
              <w:rPr>
                <w:rFonts w:hint="eastAsia" w:ascii="仿宋_GB2312" w:eastAsia="仿宋_GB2312"/>
                <w:spacing w:val="-20"/>
                <w:kern w:val="0"/>
                <w:sz w:val="28"/>
                <w:szCs w:val="28"/>
                <w:lang w:eastAsia="en-US"/>
              </w:rPr>
              <w:t xml:space="preserve">人以下   </w:t>
            </w:r>
            <w:r>
              <w:rPr>
                <w:rFonts w:hint="eastAsia" w:ascii="仿宋_GB2312" w:eastAsia="仿宋_GB2312"/>
                <w:spacing w:val="-20"/>
                <w:kern w:val="0"/>
                <w:sz w:val="28"/>
                <w:szCs w:val="28"/>
                <w:lang w:eastAsia="en-US"/>
              </w:rPr>
              <w:sym w:font="Wingdings 2" w:char="F0A3"/>
            </w:r>
            <w:r>
              <w:rPr>
                <w:rFonts w:ascii="仿宋_GB2312" w:eastAsia="仿宋_GB2312"/>
                <w:spacing w:val="-20"/>
                <w:kern w:val="0"/>
                <w:sz w:val="28"/>
                <w:szCs w:val="28"/>
                <w:lang w:eastAsia="en-US"/>
              </w:rPr>
              <w:t xml:space="preserve">101-500 </w:t>
            </w:r>
            <w:r>
              <w:rPr>
                <w:rFonts w:hint="eastAsia" w:ascii="仿宋_GB2312" w:eastAsia="仿宋_GB2312"/>
                <w:spacing w:val="-20"/>
                <w:kern w:val="0"/>
                <w:sz w:val="28"/>
                <w:szCs w:val="28"/>
                <w:lang w:eastAsia="en-US"/>
              </w:rPr>
              <w:t xml:space="preserve">人  </w:t>
            </w:r>
            <w:r>
              <w:rPr>
                <w:rFonts w:hint="eastAsia" w:ascii="仿宋_GB2312" w:eastAsia="仿宋_GB2312"/>
                <w:spacing w:val="-20"/>
                <w:kern w:val="0"/>
                <w:sz w:val="28"/>
                <w:szCs w:val="28"/>
                <w:lang w:eastAsia="en-US"/>
              </w:rPr>
              <w:sym w:font="Wingdings 2" w:char="F0A3"/>
            </w:r>
            <w:r>
              <w:rPr>
                <w:rFonts w:ascii="仿宋_GB2312" w:eastAsia="仿宋_GB2312"/>
                <w:spacing w:val="-20"/>
                <w:kern w:val="0"/>
                <w:sz w:val="28"/>
                <w:szCs w:val="28"/>
                <w:lang w:eastAsia="en-US"/>
              </w:rPr>
              <w:t xml:space="preserve">501-1000 </w:t>
            </w:r>
            <w:r>
              <w:rPr>
                <w:rFonts w:hint="eastAsia" w:ascii="仿宋_GB2312" w:eastAsia="仿宋_GB2312"/>
                <w:spacing w:val="-20"/>
                <w:kern w:val="0"/>
                <w:sz w:val="28"/>
                <w:szCs w:val="28"/>
                <w:lang w:eastAsia="en-US"/>
              </w:rPr>
              <w:t xml:space="preserve">人  </w:t>
            </w:r>
            <w:r>
              <w:rPr>
                <w:rFonts w:hint="eastAsia" w:ascii="仿宋" w:hAnsi="Wingdings 2" w:eastAsia="仿宋"/>
                <w:spacing w:val="-6"/>
                <w:kern w:val="0"/>
                <w:sz w:val="28"/>
                <w:szCs w:val="28"/>
                <w:lang w:eastAsia="en-US"/>
              </w:rPr>
              <w:sym w:font="Wingdings 2" w:char="F0A3"/>
            </w:r>
            <w:r>
              <w:rPr>
                <w:rFonts w:ascii="仿宋_GB2312" w:eastAsia="仿宋_GB2312"/>
                <w:spacing w:val="-20"/>
                <w:kern w:val="0"/>
                <w:sz w:val="28"/>
                <w:szCs w:val="28"/>
                <w:lang w:eastAsia="en-US"/>
              </w:rPr>
              <w:t xml:space="preserve">1000 </w:t>
            </w:r>
            <w:r>
              <w:rPr>
                <w:rFonts w:hint="eastAsia" w:ascii="仿宋_GB2312" w:eastAsia="仿宋_GB2312"/>
                <w:spacing w:val="-20"/>
                <w:kern w:val="0"/>
                <w:sz w:val="28"/>
                <w:szCs w:val="28"/>
                <w:lang w:eastAsia="en-US"/>
              </w:rPr>
              <w:t>人以上</w:t>
            </w:r>
          </w:p>
        </w:tc>
      </w:tr>
      <w:tr w14:paraId="0742F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4E8CCC5B">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联系人</w:t>
            </w:r>
          </w:p>
        </w:tc>
        <w:tc>
          <w:tcPr>
            <w:tcW w:w="2794" w:type="dxa"/>
            <w:gridSpan w:val="2"/>
            <w:vAlign w:val="center"/>
          </w:tcPr>
          <w:p w14:paraId="7BFDDBE2">
            <w:pPr>
              <w:pStyle w:val="51"/>
              <w:kinsoku w:val="0"/>
              <w:overflowPunct w:val="0"/>
              <w:autoSpaceDE w:val="0"/>
              <w:autoSpaceDN w:val="0"/>
              <w:adjustRightInd w:val="0"/>
              <w:snapToGrid w:val="0"/>
              <w:jc w:val="center"/>
              <w:rPr>
                <w:rFonts w:ascii="仿宋_GB2312" w:eastAsia="仿宋_GB2312"/>
                <w:kern w:val="0"/>
                <w:sz w:val="28"/>
                <w:szCs w:val="28"/>
                <w:lang w:eastAsia="en-US"/>
              </w:rPr>
            </w:pPr>
          </w:p>
        </w:tc>
        <w:tc>
          <w:tcPr>
            <w:tcW w:w="1800" w:type="dxa"/>
            <w:gridSpan w:val="2"/>
            <w:vAlign w:val="center"/>
          </w:tcPr>
          <w:p w14:paraId="68A2F942">
            <w:pPr>
              <w:pStyle w:val="51"/>
              <w:kinsoku w:val="0"/>
              <w:overflowPunct w:val="0"/>
              <w:autoSpaceDE w:val="0"/>
              <w:autoSpaceDN w:val="0"/>
              <w:adjustRightInd w:val="0"/>
              <w:snapToGrid w:val="0"/>
              <w:jc w:val="center"/>
              <w:rPr>
                <w:rFonts w:ascii="仿宋_GB2312" w:eastAsia="仿宋_GB2312"/>
                <w:kern w:val="0"/>
                <w:sz w:val="28"/>
                <w:szCs w:val="28"/>
                <w:lang w:eastAsia="en-US"/>
              </w:rPr>
            </w:pPr>
            <w:r>
              <w:rPr>
                <w:rFonts w:hint="eastAsia" w:ascii="黑体" w:hAnsi="黑体" w:eastAsia="黑体"/>
                <w:kern w:val="0"/>
                <w:sz w:val="28"/>
                <w:szCs w:val="28"/>
                <w:lang w:eastAsia="en-US"/>
              </w:rPr>
              <w:t>联系电话</w:t>
            </w:r>
          </w:p>
        </w:tc>
        <w:tc>
          <w:tcPr>
            <w:tcW w:w="2297" w:type="dxa"/>
            <w:vAlign w:val="center"/>
          </w:tcPr>
          <w:p w14:paraId="489F425E">
            <w:pPr>
              <w:pStyle w:val="51"/>
              <w:kinsoku w:val="0"/>
              <w:overflowPunct w:val="0"/>
              <w:autoSpaceDE w:val="0"/>
              <w:autoSpaceDN w:val="0"/>
              <w:adjustRightInd w:val="0"/>
              <w:snapToGrid w:val="0"/>
              <w:jc w:val="center"/>
              <w:rPr>
                <w:rFonts w:ascii="仿宋_GB2312" w:eastAsia="仿宋_GB2312"/>
                <w:kern w:val="0"/>
                <w:sz w:val="28"/>
                <w:szCs w:val="28"/>
                <w:lang w:eastAsia="en-US"/>
              </w:rPr>
            </w:pPr>
          </w:p>
        </w:tc>
      </w:tr>
      <w:tr w14:paraId="5A830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7017B837">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联系人邮箱</w:t>
            </w:r>
          </w:p>
        </w:tc>
        <w:tc>
          <w:tcPr>
            <w:tcW w:w="6891" w:type="dxa"/>
            <w:gridSpan w:val="5"/>
            <w:vAlign w:val="center"/>
          </w:tcPr>
          <w:p w14:paraId="2378C1FF">
            <w:pPr>
              <w:pStyle w:val="51"/>
              <w:kinsoku w:val="0"/>
              <w:overflowPunct w:val="0"/>
              <w:autoSpaceDE w:val="0"/>
              <w:autoSpaceDN w:val="0"/>
              <w:adjustRightInd w:val="0"/>
              <w:snapToGrid w:val="0"/>
              <w:ind w:firstLine="140" w:firstLineChars="50"/>
              <w:rPr>
                <w:rFonts w:ascii="仿宋_GB2312" w:eastAsia="仿宋_GB2312"/>
                <w:kern w:val="0"/>
                <w:sz w:val="28"/>
                <w:szCs w:val="28"/>
                <w:lang w:eastAsia="en-US"/>
              </w:rPr>
            </w:pPr>
          </w:p>
        </w:tc>
      </w:tr>
      <w:tr w14:paraId="5D46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40EBF340">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联系地址</w:t>
            </w:r>
          </w:p>
        </w:tc>
        <w:tc>
          <w:tcPr>
            <w:tcW w:w="6891" w:type="dxa"/>
            <w:gridSpan w:val="5"/>
            <w:tcBorders>
              <w:bottom w:val="single" w:color="auto" w:sz="4" w:space="0"/>
            </w:tcBorders>
            <w:vAlign w:val="center"/>
          </w:tcPr>
          <w:p w14:paraId="50733F25">
            <w:pPr>
              <w:pStyle w:val="51"/>
              <w:kinsoku w:val="0"/>
              <w:overflowPunct w:val="0"/>
              <w:autoSpaceDE w:val="0"/>
              <w:autoSpaceDN w:val="0"/>
              <w:adjustRightInd w:val="0"/>
              <w:snapToGrid w:val="0"/>
              <w:jc w:val="center"/>
              <w:rPr>
                <w:rFonts w:ascii="仿宋_GB2312" w:eastAsia="仿宋_GB2312"/>
                <w:kern w:val="0"/>
                <w:sz w:val="28"/>
                <w:szCs w:val="28"/>
                <w:lang w:eastAsia="en-US"/>
              </w:rPr>
            </w:pPr>
          </w:p>
        </w:tc>
      </w:tr>
      <w:tr w14:paraId="099DB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1903" w:type="dxa"/>
            <w:tcBorders>
              <w:right w:val="single" w:color="auto" w:sz="4" w:space="0"/>
            </w:tcBorders>
            <w:vAlign w:val="center"/>
          </w:tcPr>
          <w:p w14:paraId="75A8E2C5">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涉及纠纷</w:t>
            </w:r>
          </w:p>
          <w:p w14:paraId="19721051">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类型</w:t>
            </w:r>
          </w:p>
        </w:tc>
        <w:tc>
          <w:tcPr>
            <w:tcW w:w="6891" w:type="dxa"/>
            <w:gridSpan w:val="5"/>
            <w:tcBorders>
              <w:top w:val="single" w:color="auto" w:sz="4" w:space="0"/>
              <w:left w:val="single" w:color="auto" w:sz="4" w:space="0"/>
              <w:bottom w:val="single" w:color="auto" w:sz="4" w:space="0"/>
              <w:right w:val="single" w:color="auto" w:sz="4" w:space="0"/>
            </w:tcBorders>
            <w:vAlign w:val="center"/>
          </w:tcPr>
          <w:p w14:paraId="6B3B8358">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商标、专利、地理标志等权利有效性纠纷</w:t>
            </w:r>
          </w:p>
          <w:p w14:paraId="4FAA039B">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商标、专利、地理标志等权属纠纷</w:t>
            </w:r>
          </w:p>
          <w:p w14:paraId="38761811">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 xml:space="preserve">商标、专利、地理标志等侵权纠纷        </w:t>
            </w:r>
          </w:p>
          <w:p w14:paraId="1546BC49">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商标、专利等相关贸易调查纠纷</w:t>
            </w:r>
          </w:p>
          <w:p w14:paraId="5DDB7132">
            <w:pPr>
              <w:kinsoku w:val="0"/>
              <w:overflowPunct w:val="0"/>
              <w:autoSpaceDE w:val="0"/>
              <w:autoSpaceDN w:val="0"/>
              <w:adjustRightInd w:val="0"/>
              <w:snapToGrid w:val="0"/>
              <w:ind w:left="105" w:leftChars="5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商</w:t>
            </w:r>
            <w:r>
              <w:rPr>
                <w:rFonts w:hint="eastAsia" w:ascii="仿宋_GB2312" w:hAnsi="仿宋" w:eastAsia="仿宋_GB2312"/>
                <w:spacing w:val="-6"/>
                <w:kern w:val="0"/>
                <w:sz w:val="28"/>
                <w:szCs w:val="28"/>
                <w:lang w:eastAsia="zh-CN"/>
              </w:rPr>
              <w:t>标、专利、地理标志等许可纠纷</w:t>
            </w:r>
          </w:p>
          <w:p w14:paraId="51504E18">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展会知识产权纠纷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商业秘密纠纷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其他</w:t>
            </w:r>
          </w:p>
        </w:tc>
      </w:tr>
      <w:tr w14:paraId="4DF3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903" w:type="dxa"/>
            <w:vAlign w:val="center"/>
          </w:tcPr>
          <w:p w14:paraId="1254C8A7">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涉及权利类别</w:t>
            </w:r>
          </w:p>
        </w:tc>
        <w:tc>
          <w:tcPr>
            <w:tcW w:w="2137" w:type="dxa"/>
            <w:tcBorders>
              <w:top w:val="single" w:color="auto" w:sz="4" w:space="0"/>
              <w:right w:val="nil"/>
            </w:tcBorders>
            <w:vAlign w:val="center"/>
          </w:tcPr>
          <w:p w14:paraId="7054155D">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发明专利</w:t>
            </w:r>
          </w:p>
          <w:p w14:paraId="5F05A757">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商标</w:t>
            </w:r>
          </w:p>
          <w:p w14:paraId="29FA217D">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商业秘密</w:t>
            </w:r>
          </w:p>
        </w:tc>
        <w:tc>
          <w:tcPr>
            <w:tcW w:w="1977" w:type="dxa"/>
            <w:gridSpan w:val="2"/>
            <w:tcBorders>
              <w:top w:val="single" w:color="auto" w:sz="4" w:space="0"/>
              <w:left w:val="nil"/>
              <w:right w:val="nil"/>
            </w:tcBorders>
            <w:vAlign w:val="center"/>
          </w:tcPr>
          <w:p w14:paraId="22C8461F">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 xml:space="preserve">实用新型专利  </w:t>
            </w:r>
          </w:p>
          <w:p w14:paraId="472940D2">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地理标志</w:t>
            </w:r>
          </w:p>
          <w:p w14:paraId="7FEE173B">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著作权</w:t>
            </w:r>
          </w:p>
        </w:tc>
        <w:tc>
          <w:tcPr>
            <w:tcW w:w="2777" w:type="dxa"/>
            <w:gridSpan w:val="2"/>
            <w:tcBorders>
              <w:top w:val="single" w:color="auto" w:sz="4" w:space="0"/>
              <w:left w:val="nil"/>
            </w:tcBorders>
            <w:vAlign w:val="center"/>
          </w:tcPr>
          <w:p w14:paraId="344DAD29">
            <w:pPr>
              <w:kinsoku w:val="0"/>
              <w:overflowPunct w:val="0"/>
              <w:autoSpaceDE w:val="0"/>
              <w:autoSpaceDN w:val="0"/>
              <w:adjustRightInd w:val="0"/>
              <w:snapToGrid w:val="0"/>
              <w:ind w:left="105" w:leftChars="5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12"/>
                <w:kern w:val="0"/>
                <w:sz w:val="28"/>
                <w:szCs w:val="28"/>
                <w:lang w:eastAsia="zh-CN"/>
              </w:rPr>
              <w:t>工业品外观设计</w:t>
            </w:r>
          </w:p>
          <w:p w14:paraId="5BC1D75C">
            <w:pPr>
              <w:kinsoku w:val="0"/>
              <w:overflowPunct w:val="0"/>
              <w:autoSpaceDE w:val="0"/>
              <w:autoSpaceDN w:val="0"/>
              <w:adjustRightInd w:val="0"/>
              <w:snapToGrid w:val="0"/>
              <w:ind w:left="105" w:leftChars="5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集成电路布图设计</w:t>
            </w:r>
          </w:p>
          <w:p w14:paraId="214697EC">
            <w:pPr>
              <w:kinsoku w:val="0"/>
              <w:overflowPunct w:val="0"/>
              <w:autoSpaceDE w:val="0"/>
              <w:autoSpaceDN w:val="0"/>
              <w:adjustRightInd w:val="0"/>
              <w:snapToGrid w:val="0"/>
              <w:ind w:left="105" w:leftChars="5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en-US"/>
              </w:rPr>
              <w:t>其他</w:t>
            </w:r>
          </w:p>
        </w:tc>
      </w:tr>
      <w:tr w14:paraId="6DF8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903" w:type="dxa"/>
            <w:vAlign w:val="center"/>
          </w:tcPr>
          <w:p w14:paraId="5ECBCC99">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纠纷国家</w:t>
            </w:r>
            <w:r>
              <w:rPr>
                <w:rFonts w:ascii="黑体" w:hAnsi="黑体" w:eastAsia="黑体"/>
                <w:kern w:val="0"/>
                <w:sz w:val="28"/>
                <w:szCs w:val="28"/>
                <w:lang w:eastAsia="en-US"/>
              </w:rPr>
              <w:t>/</w:t>
            </w:r>
          </w:p>
          <w:p w14:paraId="463F2357">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ascii="黑体" w:hAnsi="黑体" w:eastAsia="黑体"/>
                <w:kern w:val="0"/>
                <w:sz w:val="28"/>
                <w:szCs w:val="28"/>
                <w:lang w:eastAsia="en-US"/>
              </w:rPr>
              <w:t>地区</w:t>
            </w:r>
          </w:p>
        </w:tc>
        <w:tc>
          <w:tcPr>
            <w:tcW w:w="6891" w:type="dxa"/>
            <w:gridSpan w:val="5"/>
            <w:vAlign w:val="center"/>
          </w:tcPr>
          <w:p w14:paraId="227851A9">
            <w:pPr>
              <w:kinsoku w:val="0"/>
              <w:overflowPunct w:val="0"/>
              <w:autoSpaceDE w:val="0"/>
              <w:autoSpaceDN w:val="0"/>
              <w:adjustRightInd w:val="0"/>
              <w:snapToGrid w:val="0"/>
              <w:ind w:left="105" w:leftChars="5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美国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德国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法国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英国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日本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韩国</w:t>
            </w:r>
          </w:p>
          <w:p w14:paraId="05420A91">
            <w:pPr>
              <w:kinsoku w:val="0"/>
              <w:overflowPunct w:val="0"/>
              <w:autoSpaceDE w:val="0"/>
              <w:autoSpaceDN w:val="0"/>
              <w:adjustRightInd w:val="0"/>
              <w:snapToGrid w:val="0"/>
              <w:ind w:left="105" w:leftChars="5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印度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巴西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俄罗斯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 xml:space="preserve">土耳其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澳大利亚</w:t>
            </w:r>
          </w:p>
          <w:p w14:paraId="21D1DFA2">
            <w:pPr>
              <w:kinsoku w:val="0"/>
              <w:overflowPunct w:val="0"/>
              <w:autoSpaceDE w:val="0"/>
              <w:autoSpaceDN w:val="0"/>
              <w:adjustRightInd w:val="0"/>
              <w:snapToGrid w:val="0"/>
              <w:ind w:left="105" w:leftChars="5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en-US"/>
              </w:rPr>
              <w:t>其他</w:t>
            </w:r>
          </w:p>
        </w:tc>
      </w:tr>
      <w:tr w14:paraId="2091D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903" w:type="dxa"/>
            <w:vAlign w:val="center"/>
          </w:tcPr>
          <w:p w14:paraId="32F7BF89">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纠纷对象</w:t>
            </w:r>
          </w:p>
          <w:p w14:paraId="58066AB8">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类型</w:t>
            </w:r>
          </w:p>
        </w:tc>
        <w:tc>
          <w:tcPr>
            <w:tcW w:w="6891" w:type="dxa"/>
            <w:gridSpan w:val="5"/>
            <w:vAlign w:val="center"/>
          </w:tcPr>
          <w:p w14:paraId="5C1D9481">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 xml:space="preserve">竞争对手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非专利实施实体（NPE）</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高校或研究机构</w:t>
            </w:r>
          </w:p>
          <w:p w14:paraId="0B806746">
            <w:pPr>
              <w:kinsoku w:val="0"/>
              <w:overflowPunct w:val="0"/>
              <w:autoSpaceDE w:val="0"/>
              <w:autoSpaceDN w:val="0"/>
              <w:adjustRightInd w:val="0"/>
              <w:snapToGrid w:val="0"/>
              <w:ind w:left="105" w:leftChars="5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en-US"/>
              </w:rPr>
              <w:t xml:space="preserve">个人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en-US"/>
              </w:rPr>
              <w:t>其他（请填写）</w:t>
            </w:r>
          </w:p>
        </w:tc>
      </w:tr>
      <w:tr w14:paraId="29F4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903" w:type="dxa"/>
            <w:vAlign w:val="center"/>
          </w:tcPr>
          <w:p w14:paraId="682D46E7">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纠纷领域</w:t>
            </w:r>
          </w:p>
        </w:tc>
        <w:tc>
          <w:tcPr>
            <w:tcW w:w="6891" w:type="dxa"/>
            <w:gridSpan w:val="5"/>
            <w:vAlign w:val="center"/>
          </w:tcPr>
          <w:p w14:paraId="26ADF059">
            <w:pPr>
              <w:kinsoku w:val="0"/>
              <w:overflowPunct w:val="0"/>
              <w:autoSpaceDE w:val="0"/>
              <w:autoSpaceDN w:val="0"/>
              <w:adjustRightInd w:val="0"/>
              <w:snapToGrid w:val="0"/>
              <w:ind w:left="105" w:leftChars="5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 xml:space="preserve">机械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 xml:space="preserve">电学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 xml:space="preserve">通信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 xml:space="preserve">化学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 xml:space="preserve">光电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医药生物</w:t>
            </w:r>
          </w:p>
          <w:p w14:paraId="7A8F537B">
            <w:pPr>
              <w:pStyle w:val="51"/>
              <w:tabs>
                <w:tab w:val="left" w:pos="323"/>
                <w:tab w:val="left" w:pos="1766"/>
                <w:tab w:val="left" w:pos="6392"/>
              </w:tabs>
              <w:kinsoku w:val="0"/>
              <w:overflowPunct w:val="0"/>
              <w:autoSpaceDE w:val="0"/>
              <w:autoSpaceDN w:val="0"/>
              <w:adjustRightInd w:val="0"/>
              <w:snapToGrid w:val="0"/>
              <w:spacing w:before="52"/>
              <w:ind w:left="105" w:leftChars="50"/>
              <w:rPr>
                <w:rFonts w:ascii="仿宋_GB2312" w:eastAsia="仿宋_GB2312"/>
                <w:kern w:val="0"/>
                <w:sz w:val="28"/>
                <w:szCs w:val="28"/>
                <w:lang w:eastAsia="en-US"/>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en-US"/>
              </w:rPr>
              <w:t>其他（请填写）:</w:t>
            </w:r>
          </w:p>
        </w:tc>
      </w:tr>
      <w:tr w14:paraId="6E039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jc w:val="center"/>
        </w:trPr>
        <w:tc>
          <w:tcPr>
            <w:tcW w:w="1903" w:type="dxa"/>
            <w:vAlign w:val="center"/>
          </w:tcPr>
          <w:p w14:paraId="560A4B16">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zh-CN"/>
              </w:rPr>
            </w:pPr>
            <w:r>
              <w:rPr>
                <w:rFonts w:hint="eastAsia" w:ascii="黑体" w:hAnsi="黑体" w:eastAsia="黑体"/>
                <w:kern w:val="0"/>
                <w:sz w:val="28"/>
                <w:szCs w:val="28"/>
                <w:lang w:eastAsia="zh-CN"/>
              </w:rPr>
              <w:t>纠纷应对指导申请事项</w:t>
            </w:r>
          </w:p>
        </w:tc>
        <w:tc>
          <w:tcPr>
            <w:tcW w:w="6891" w:type="dxa"/>
            <w:gridSpan w:val="5"/>
            <w:vAlign w:val="center"/>
          </w:tcPr>
          <w:p w14:paraId="150461EB">
            <w:pPr>
              <w:pStyle w:val="51"/>
              <w:kinsoku w:val="0"/>
              <w:overflowPunct w:val="0"/>
              <w:autoSpaceDE w:val="0"/>
              <w:autoSpaceDN w:val="0"/>
              <w:adjustRightInd w:val="0"/>
              <w:snapToGrid w:val="0"/>
              <w:ind w:left="105" w:firstLine="536" w:firstLineChars="200"/>
              <w:rPr>
                <w:rFonts w:ascii="仿宋_GB2312" w:hAnsi="仿宋" w:eastAsia="仿宋_GB2312"/>
                <w:spacing w:val="-6"/>
                <w:kern w:val="0"/>
                <w:sz w:val="28"/>
                <w:szCs w:val="28"/>
                <w:lang w:eastAsia="zh-CN"/>
              </w:rPr>
            </w:pPr>
          </w:p>
          <w:p w14:paraId="60A4D619">
            <w:pPr>
              <w:pStyle w:val="51"/>
              <w:kinsoku w:val="0"/>
              <w:overflowPunct w:val="0"/>
              <w:autoSpaceDE w:val="0"/>
              <w:autoSpaceDN w:val="0"/>
              <w:adjustRightInd w:val="0"/>
              <w:snapToGrid w:val="0"/>
              <w:ind w:left="105" w:firstLine="536" w:firstLineChars="200"/>
              <w:rPr>
                <w:rFonts w:ascii="仿宋_GB2312" w:hAnsi="仿宋" w:eastAsia="仿宋_GB2312"/>
                <w:spacing w:val="-6"/>
                <w:kern w:val="0"/>
                <w:sz w:val="28"/>
                <w:szCs w:val="28"/>
                <w:lang w:eastAsia="zh-CN"/>
              </w:rPr>
            </w:pPr>
          </w:p>
          <w:p w14:paraId="73B9E49D">
            <w:pPr>
              <w:pStyle w:val="51"/>
              <w:kinsoku w:val="0"/>
              <w:overflowPunct w:val="0"/>
              <w:autoSpaceDE w:val="0"/>
              <w:autoSpaceDN w:val="0"/>
              <w:adjustRightInd w:val="0"/>
              <w:snapToGrid w:val="0"/>
              <w:ind w:left="105" w:firstLine="536" w:firstLineChars="200"/>
              <w:rPr>
                <w:rFonts w:ascii="仿宋_GB2312" w:hAnsi="仿宋" w:eastAsia="仿宋_GB2312"/>
                <w:spacing w:val="-6"/>
                <w:kern w:val="0"/>
                <w:sz w:val="28"/>
                <w:szCs w:val="28"/>
                <w:lang w:eastAsia="zh-CN"/>
              </w:rPr>
            </w:pPr>
          </w:p>
          <w:p w14:paraId="54B6F585">
            <w:pPr>
              <w:pStyle w:val="51"/>
              <w:kinsoku w:val="0"/>
              <w:overflowPunct w:val="0"/>
              <w:autoSpaceDE w:val="0"/>
              <w:autoSpaceDN w:val="0"/>
              <w:adjustRightInd w:val="0"/>
              <w:snapToGrid w:val="0"/>
              <w:rPr>
                <w:rFonts w:ascii="仿宋_GB2312" w:hAnsi="仿宋" w:eastAsia="仿宋_GB2312"/>
                <w:spacing w:val="-6"/>
                <w:kern w:val="0"/>
                <w:sz w:val="28"/>
                <w:szCs w:val="28"/>
                <w:lang w:eastAsia="zh-CN"/>
              </w:rPr>
            </w:pPr>
          </w:p>
          <w:p w14:paraId="358F234C">
            <w:pPr>
              <w:pStyle w:val="51"/>
              <w:kinsoku w:val="0"/>
              <w:overflowPunct w:val="0"/>
              <w:autoSpaceDE w:val="0"/>
              <w:autoSpaceDN w:val="0"/>
              <w:adjustRightInd w:val="0"/>
              <w:snapToGrid w:val="0"/>
              <w:rPr>
                <w:rFonts w:ascii="仿宋_GB2312" w:hAnsi="仿宋" w:eastAsia="仿宋_GB2312"/>
                <w:spacing w:val="-6"/>
                <w:kern w:val="0"/>
                <w:sz w:val="28"/>
                <w:szCs w:val="28"/>
                <w:lang w:eastAsia="zh-CN"/>
              </w:rPr>
            </w:pPr>
          </w:p>
          <w:p w14:paraId="18233B16">
            <w:pPr>
              <w:pStyle w:val="51"/>
              <w:kinsoku w:val="0"/>
              <w:overflowPunct w:val="0"/>
              <w:autoSpaceDE w:val="0"/>
              <w:autoSpaceDN w:val="0"/>
              <w:adjustRightInd w:val="0"/>
              <w:snapToGrid w:val="0"/>
              <w:rPr>
                <w:rFonts w:ascii="仿宋_GB2312" w:hAnsi="仿宋" w:eastAsia="仿宋_GB2312"/>
                <w:spacing w:val="-6"/>
                <w:kern w:val="0"/>
                <w:sz w:val="28"/>
                <w:szCs w:val="28"/>
                <w:lang w:eastAsia="zh-CN"/>
              </w:rPr>
            </w:pPr>
          </w:p>
        </w:tc>
      </w:tr>
      <w:tr w14:paraId="561F2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1903" w:type="dxa"/>
            <w:vAlign w:val="center"/>
          </w:tcPr>
          <w:p w14:paraId="2C89EB83">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纠纷影响预估</w:t>
            </w:r>
          </w:p>
        </w:tc>
        <w:tc>
          <w:tcPr>
            <w:tcW w:w="6891" w:type="dxa"/>
            <w:gridSpan w:val="5"/>
            <w:vAlign w:val="center"/>
          </w:tcPr>
          <w:p w14:paraId="66CABFD9">
            <w:pPr>
              <w:kinsoku w:val="0"/>
              <w:overflowPunct w:val="0"/>
              <w:autoSpaceDE w:val="0"/>
              <w:autoSpaceDN w:val="0"/>
              <w:adjustRightInd w:val="0"/>
              <w:snapToGrid w:val="0"/>
              <w:ind w:left="105" w:leftChars="50" w:firstLine="536" w:firstLineChars="200"/>
              <w:rPr>
                <w:rFonts w:hint="eastAsia" w:ascii="仿宋_GB2312" w:hAnsi="Wingdings 2" w:eastAsia="仿宋_GB2312"/>
                <w:spacing w:val="-6"/>
                <w:kern w:val="0"/>
                <w:sz w:val="28"/>
                <w:szCs w:val="28"/>
                <w:lang w:eastAsia="en-US"/>
              </w:rPr>
            </w:pPr>
          </w:p>
          <w:p w14:paraId="5EDE7633">
            <w:pPr>
              <w:kinsoku w:val="0"/>
              <w:overflowPunct w:val="0"/>
              <w:autoSpaceDE w:val="0"/>
              <w:autoSpaceDN w:val="0"/>
              <w:adjustRightInd w:val="0"/>
              <w:snapToGrid w:val="0"/>
              <w:ind w:left="105" w:leftChars="50" w:firstLine="536" w:firstLineChars="200"/>
              <w:rPr>
                <w:rFonts w:hint="eastAsia" w:ascii="仿宋_GB2312" w:hAnsi="Wingdings 2" w:eastAsia="仿宋_GB2312"/>
                <w:spacing w:val="-6"/>
                <w:kern w:val="0"/>
                <w:sz w:val="28"/>
                <w:szCs w:val="28"/>
                <w:lang w:eastAsia="en-US"/>
              </w:rPr>
            </w:pPr>
          </w:p>
          <w:p w14:paraId="0DEBC671">
            <w:pPr>
              <w:kinsoku w:val="0"/>
              <w:overflowPunct w:val="0"/>
              <w:autoSpaceDE w:val="0"/>
              <w:autoSpaceDN w:val="0"/>
              <w:adjustRightInd w:val="0"/>
              <w:snapToGrid w:val="0"/>
              <w:rPr>
                <w:rFonts w:hint="eastAsia" w:ascii="仿宋_GB2312" w:hAnsi="Wingdings 2" w:eastAsia="仿宋_GB2312"/>
                <w:spacing w:val="-6"/>
                <w:kern w:val="0"/>
                <w:sz w:val="28"/>
                <w:szCs w:val="28"/>
                <w:lang w:eastAsia="en-US"/>
              </w:rPr>
            </w:pPr>
          </w:p>
          <w:p w14:paraId="66413F3F">
            <w:pPr>
              <w:kinsoku w:val="0"/>
              <w:overflowPunct w:val="0"/>
              <w:autoSpaceDE w:val="0"/>
              <w:autoSpaceDN w:val="0"/>
              <w:adjustRightInd w:val="0"/>
              <w:snapToGrid w:val="0"/>
              <w:ind w:left="105" w:leftChars="50" w:firstLine="536" w:firstLineChars="200"/>
              <w:rPr>
                <w:rFonts w:hint="eastAsia" w:ascii="仿宋_GB2312" w:hAnsi="Wingdings 2" w:eastAsia="仿宋_GB2312"/>
                <w:spacing w:val="-6"/>
                <w:kern w:val="0"/>
                <w:sz w:val="28"/>
                <w:szCs w:val="28"/>
                <w:lang w:eastAsia="en-US"/>
              </w:rPr>
            </w:pPr>
          </w:p>
          <w:p w14:paraId="3A688F40">
            <w:pPr>
              <w:kinsoku w:val="0"/>
              <w:overflowPunct w:val="0"/>
              <w:autoSpaceDE w:val="0"/>
              <w:autoSpaceDN w:val="0"/>
              <w:adjustRightInd w:val="0"/>
              <w:snapToGrid w:val="0"/>
              <w:ind w:left="105" w:leftChars="50" w:firstLine="536" w:firstLineChars="200"/>
              <w:rPr>
                <w:rFonts w:hint="eastAsia" w:ascii="仿宋_GB2312" w:hAnsi="Wingdings 2" w:eastAsia="仿宋_GB2312"/>
                <w:spacing w:val="-6"/>
                <w:kern w:val="0"/>
                <w:sz w:val="28"/>
                <w:szCs w:val="28"/>
                <w:lang w:eastAsia="en-US"/>
              </w:rPr>
            </w:pPr>
          </w:p>
        </w:tc>
      </w:tr>
      <w:tr w14:paraId="5E6F2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03" w:type="dxa"/>
            <w:vAlign w:val="center"/>
          </w:tcPr>
          <w:p w14:paraId="31388A1D">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附件材料</w:t>
            </w:r>
          </w:p>
        </w:tc>
        <w:tc>
          <w:tcPr>
            <w:tcW w:w="6891" w:type="dxa"/>
            <w:gridSpan w:val="5"/>
          </w:tcPr>
          <w:p w14:paraId="5A2D0401">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t>1.</w:t>
            </w:r>
          </w:p>
          <w:p w14:paraId="2522A938">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t>2.</w:t>
            </w:r>
          </w:p>
          <w:p w14:paraId="413F1F37">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t>3.</w:t>
            </w:r>
          </w:p>
          <w:p w14:paraId="312B972E">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t>……</w:t>
            </w:r>
          </w:p>
          <w:p w14:paraId="4C821394">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p>
          <w:p w14:paraId="16F6A7EF">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p>
        </w:tc>
      </w:tr>
      <w:tr w14:paraId="7D9C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03" w:type="dxa"/>
            <w:vAlign w:val="center"/>
          </w:tcPr>
          <w:p w14:paraId="1B87CE66">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其他要求</w:t>
            </w:r>
          </w:p>
        </w:tc>
        <w:tc>
          <w:tcPr>
            <w:tcW w:w="6891" w:type="dxa"/>
            <w:gridSpan w:val="5"/>
          </w:tcPr>
          <w:p w14:paraId="7D6D231D">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p>
          <w:p w14:paraId="15CECEA2">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p>
          <w:p w14:paraId="61E35F7A">
            <w:pPr>
              <w:kinsoku w:val="0"/>
              <w:overflowPunct w:val="0"/>
              <w:autoSpaceDE w:val="0"/>
              <w:autoSpaceDN w:val="0"/>
              <w:adjustRightInd w:val="0"/>
              <w:snapToGrid w:val="0"/>
              <w:ind w:firstLine="536" w:firstLineChars="200"/>
              <w:rPr>
                <w:rFonts w:hint="eastAsia" w:ascii="仿宋_GB2312" w:hAnsi="Wingdings 2" w:eastAsia="仿宋_GB2312"/>
                <w:spacing w:val="-6"/>
                <w:kern w:val="0"/>
                <w:sz w:val="28"/>
                <w:szCs w:val="28"/>
                <w:lang w:eastAsia="en-US"/>
              </w:rPr>
            </w:pPr>
          </w:p>
        </w:tc>
      </w:tr>
      <w:tr w14:paraId="284C2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atLeast"/>
          <w:jc w:val="center"/>
        </w:trPr>
        <w:tc>
          <w:tcPr>
            <w:tcW w:w="1903" w:type="dxa"/>
            <w:vAlign w:val="center"/>
          </w:tcPr>
          <w:p w14:paraId="3D1CD682">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指导风险提示</w:t>
            </w:r>
          </w:p>
        </w:tc>
        <w:tc>
          <w:tcPr>
            <w:tcW w:w="6891" w:type="dxa"/>
            <w:gridSpan w:val="5"/>
            <w:vAlign w:val="center"/>
          </w:tcPr>
          <w:p w14:paraId="74D53A09">
            <w:pPr>
              <w:pStyle w:val="28"/>
              <w:overflowPunct w:val="0"/>
              <w:snapToGrid w:val="0"/>
              <w:ind w:left="105" w:leftChars="50" w:firstLine="560" w:firstLineChars="200"/>
              <w:rPr>
                <w:rFonts w:hAnsi="宋体" w:cs="宋体"/>
                <w:color w:val="auto"/>
                <w:sz w:val="28"/>
                <w:szCs w:val="28"/>
                <w:lang w:val="zh-CN" w:eastAsia="zh-CN" w:bidi="zh-CN"/>
              </w:rPr>
            </w:pPr>
            <w:r>
              <w:rPr>
                <w:rFonts w:hint="eastAsia" w:hAnsi="宋体" w:cs="宋体"/>
                <w:color w:val="auto"/>
                <w:sz w:val="28"/>
                <w:szCs w:val="28"/>
                <w:lang w:val="zh-CN" w:eastAsia="zh-CN" w:bidi="zh-CN"/>
              </w:rPr>
              <w:t xml:space="preserve">1.指导意见是否被采纳取决于申请人的判断，指导机构和指导人无权干涉； </w:t>
            </w:r>
          </w:p>
          <w:p w14:paraId="35B56E07">
            <w:pPr>
              <w:pStyle w:val="28"/>
              <w:overflowPunct w:val="0"/>
              <w:snapToGrid w:val="0"/>
              <w:ind w:left="105" w:leftChars="50" w:firstLine="560" w:firstLineChars="200"/>
              <w:rPr>
                <w:sz w:val="28"/>
                <w:szCs w:val="28"/>
                <w:lang w:eastAsia="zh-CN"/>
              </w:rPr>
            </w:pPr>
            <w:r>
              <w:rPr>
                <w:rFonts w:hint="eastAsia" w:hAnsi="宋体" w:cs="宋体"/>
                <w:color w:val="auto"/>
                <w:sz w:val="28"/>
                <w:szCs w:val="28"/>
                <w:lang w:val="zh-CN" w:eastAsia="zh-CN" w:bidi="zh-CN"/>
              </w:rPr>
              <w:t xml:space="preserve">2.由于受指导材料或者其他因素限制，并非所有的指导都能得出明确的指导意见； </w:t>
            </w:r>
          </w:p>
          <w:p w14:paraId="7D9AB121">
            <w:pPr>
              <w:pStyle w:val="28"/>
              <w:overflowPunct w:val="0"/>
              <w:snapToGrid w:val="0"/>
              <w:ind w:left="105" w:leftChars="50" w:firstLine="560" w:firstLineChars="200"/>
              <w:rPr>
                <w:rFonts w:hAnsi="宋体" w:cs="宋体"/>
                <w:sz w:val="28"/>
                <w:szCs w:val="28"/>
                <w:lang w:val="zh-CN" w:eastAsia="zh-CN" w:bidi="zh-CN"/>
              </w:rPr>
            </w:pPr>
            <w:r>
              <w:rPr>
                <w:rFonts w:hint="eastAsia" w:hAnsi="宋体" w:cs="宋体"/>
                <w:sz w:val="28"/>
                <w:szCs w:val="28"/>
                <w:lang w:val="zh-CN" w:eastAsia="zh-CN" w:bidi="zh-CN"/>
              </w:rPr>
              <w:t>3</w:t>
            </w:r>
            <w:r>
              <w:rPr>
                <w:rFonts w:hint="eastAsia" w:hAnsi="宋体" w:cs="宋体"/>
                <w:color w:val="auto"/>
                <w:sz w:val="28"/>
                <w:szCs w:val="28"/>
                <w:lang w:val="zh-CN" w:eastAsia="zh-CN" w:bidi="zh-CN"/>
              </w:rPr>
              <w:t>.</w:t>
            </w:r>
            <w:r>
              <w:rPr>
                <w:rFonts w:hint="eastAsia" w:hAnsi="宋体" w:cs="宋体"/>
                <w:sz w:val="28"/>
                <w:szCs w:val="28"/>
                <w:lang w:val="zh-CN" w:eastAsia="zh-CN" w:bidi="zh-CN"/>
              </w:rPr>
              <w:t>指导意见书仅为申请人应对海外纠纷的参考文件，不得作为证据使用；</w:t>
            </w:r>
          </w:p>
          <w:p w14:paraId="2180F045">
            <w:pPr>
              <w:pStyle w:val="28"/>
              <w:overflowPunct w:val="0"/>
              <w:snapToGrid w:val="0"/>
              <w:ind w:left="105" w:leftChars="50" w:firstLine="560" w:firstLineChars="200"/>
              <w:rPr>
                <w:sz w:val="28"/>
                <w:szCs w:val="28"/>
                <w:lang w:eastAsia="zh-CN"/>
              </w:rPr>
            </w:pPr>
            <w:r>
              <w:rPr>
                <w:rFonts w:hint="eastAsia" w:hAnsi="宋体" w:cs="宋体"/>
                <w:sz w:val="28"/>
                <w:szCs w:val="28"/>
                <w:lang w:val="zh-CN" w:eastAsia="zh-CN" w:bidi="zh-CN"/>
              </w:rPr>
              <w:t>4.指导机构和指导人均将对申请及相关材料保密。</w:t>
            </w:r>
          </w:p>
        </w:tc>
      </w:tr>
      <w:tr w14:paraId="0612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jc w:val="center"/>
        </w:trPr>
        <w:tc>
          <w:tcPr>
            <w:tcW w:w="1903" w:type="dxa"/>
            <w:vAlign w:val="center"/>
          </w:tcPr>
          <w:p w14:paraId="16B3A624">
            <w:pPr>
              <w:pStyle w:val="51"/>
              <w:kinsoku w:val="0"/>
              <w:overflowPunct w:val="0"/>
              <w:autoSpaceDE w:val="0"/>
              <w:autoSpaceDN w:val="0"/>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申请人签章</w:t>
            </w:r>
          </w:p>
        </w:tc>
        <w:tc>
          <w:tcPr>
            <w:tcW w:w="6891" w:type="dxa"/>
            <w:gridSpan w:val="5"/>
            <w:vAlign w:val="center"/>
          </w:tcPr>
          <w:p w14:paraId="5631A7F1">
            <w:pPr>
              <w:pStyle w:val="51"/>
              <w:tabs>
                <w:tab w:val="left" w:pos="747"/>
              </w:tabs>
              <w:kinsoku w:val="0"/>
              <w:overflowPunct w:val="0"/>
              <w:autoSpaceDE w:val="0"/>
              <w:autoSpaceDN w:val="0"/>
              <w:adjustRightInd w:val="0"/>
              <w:snapToGrid w:val="0"/>
              <w:ind w:left="105" w:leftChars="50" w:right="94" w:firstLine="560" w:firstLineChars="200"/>
              <w:rPr>
                <w:rFonts w:ascii="仿宋_GB2312" w:eastAsia="仿宋_GB2312"/>
                <w:kern w:val="0"/>
                <w:sz w:val="28"/>
                <w:szCs w:val="28"/>
                <w:lang w:eastAsia="zh-CN"/>
              </w:rPr>
            </w:pPr>
            <w:r>
              <w:rPr>
                <w:rFonts w:hint="eastAsia" w:ascii="仿宋_GB2312" w:eastAsia="仿宋_GB2312"/>
                <w:kern w:val="0"/>
                <w:sz w:val="28"/>
                <w:szCs w:val="28"/>
                <w:lang w:eastAsia="zh-CN"/>
              </w:rPr>
              <w:t>已知悉纠纷应对指导风险提示内容，并对我公司/个人提供材料的真实性负责。</w:t>
            </w:r>
          </w:p>
          <w:p w14:paraId="102BA655">
            <w:pPr>
              <w:pStyle w:val="51"/>
              <w:tabs>
                <w:tab w:val="left" w:pos="747"/>
              </w:tabs>
              <w:kinsoku w:val="0"/>
              <w:overflowPunct w:val="0"/>
              <w:autoSpaceDE w:val="0"/>
              <w:autoSpaceDN w:val="0"/>
              <w:adjustRightInd w:val="0"/>
              <w:snapToGrid w:val="0"/>
              <w:ind w:left="105" w:leftChars="50" w:right="94"/>
              <w:jc w:val="right"/>
              <w:rPr>
                <w:rFonts w:ascii="仿宋_GB2312" w:eastAsia="仿宋_GB2312"/>
                <w:kern w:val="0"/>
                <w:sz w:val="28"/>
                <w:szCs w:val="28"/>
                <w:lang w:eastAsia="zh-CN"/>
              </w:rPr>
            </w:pPr>
          </w:p>
          <w:p w14:paraId="345B11A5">
            <w:pPr>
              <w:pStyle w:val="51"/>
              <w:tabs>
                <w:tab w:val="left" w:pos="747"/>
              </w:tabs>
              <w:kinsoku w:val="0"/>
              <w:overflowPunct w:val="0"/>
              <w:autoSpaceDE w:val="0"/>
              <w:autoSpaceDN w:val="0"/>
              <w:adjustRightInd w:val="0"/>
              <w:snapToGrid w:val="0"/>
              <w:ind w:left="105" w:leftChars="50" w:right="94"/>
              <w:jc w:val="right"/>
              <w:rPr>
                <w:rFonts w:ascii="仿宋_GB2312" w:eastAsia="仿宋_GB2312"/>
                <w:kern w:val="0"/>
                <w:sz w:val="28"/>
                <w:szCs w:val="28"/>
                <w:lang w:eastAsia="zh-CN"/>
              </w:rPr>
            </w:pPr>
            <w:r>
              <w:rPr>
                <w:rFonts w:hint="eastAsia" w:ascii="仿宋_GB2312" w:eastAsia="仿宋_GB2312"/>
                <w:kern w:val="0"/>
                <w:sz w:val="28"/>
                <w:szCs w:val="28"/>
                <w:lang w:eastAsia="zh-CN"/>
              </w:rPr>
              <w:t>申请人名称（盖章）</w:t>
            </w:r>
          </w:p>
          <w:p w14:paraId="5A7FFE8B">
            <w:pPr>
              <w:pStyle w:val="51"/>
              <w:tabs>
                <w:tab w:val="left" w:pos="747"/>
              </w:tabs>
              <w:kinsoku w:val="0"/>
              <w:overflowPunct w:val="0"/>
              <w:autoSpaceDE w:val="0"/>
              <w:autoSpaceDN w:val="0"/>
              <w:adjustRightInd w:val="0"/>
              <w:snapToGrid w:val="0"/>
              <w:ind w:left="105" w:leftChars="50" w:right="94"/>
              <w:jc w:val="center"/>
              <w:rPr>
                <w:rFonts w:ascii="仿宋_GB2312" w:eastAsia="仿宋_GB2312"/>
                <w:kern w:val="0"/>
                <w:sz w:val="28"/>
                <w:szCs w:val="28"/>
                <w:lang w:eastAsia="zh-CN"/>
              </w:rPr>
            </w:pPr>
            <w:r>
              <w:rPr>
                <w:rFonts w:hint="eastAsia" w:ascii="仿宋_GB2312" w:eastAsia="仿宋_GB2312"/>
                <w:kern w:val="0"/>
                <w:sz w:val="28"/>
                <w:szCs w:val="28"/>
                <w:lang w:eastAsia="zh-CN"/>
              </w:rPr>
              <w:t xml:space="preserve">                              </w:t>
            </w:r>
            <w:r>
              <w:rPr>
                <w:rFonts w:ascii="仿宋_GB2312" w:eastAsia="仿宋_GB2312"/>
                <w:kern w:val="0"/>
                <w:sz w:val="28"/>
                <w:szCs w:val="28"/>
                <w:lang w:eastAsia="zh-CN"/>
              </w:rPr>
              <w:t>年</w:t>
            </w:r>
            <w:r>
              <w:rPr>
                <w:rFonts w:hint="eastAsia" w:ascii="仿宋_GB2312" w:eastAsia="仿宋_GB2312"/>
                <w:kern w:val="0"/>
                <w:sz w:val="28"/>
                <w:szCs w:val="28"/>
                <w:lang w:eastAsia="zh-CN"/>
              </w:rPr>
              <w:t xml:space="preserve">  </w:t>
            </w:r>
            <w:r>
              <w:rPr>
                <w:rFonts w:ascii="仿宋_GB2312" w:eastAsia="仿宋_GB2312"/>
                <w:kern w:val="0"/>
                <w:sz w:val="28"/>
                <w:szCs w:val="28"/>
                <w:lang w:eastAsia="zh-CN"/>
              </w:rPr>
              <w:t>月</w:t>
            </w:r>
            <w:r>
              <w:rPr>
                <w:rFonts w:hint="eastAsia" w:ascii="仿宋_GB2312" w:eastAsia="仿宋_GB2312"/>
                <w:kern w:val="0"/>
                <w:sz w:val="28"/>
                <w:szCs w:val="28"/>
                <w:lang w:eastAsia="zh-CN"/>
              </w:rPr>
              <w:t xml:space="preserve">  </w:t>
            </w:r>
            <w:r>
              <w:rPr>
                <w:rFonts w:ascii="仿宋_GB2312" w:eastAsia="仿宋_GB2312"/>
                <w:kern w:val="0"/>
                <w:sz w:val="28"/>
                <w:szCs w:val="28"/>
                <w:lang w:eastAsia="zh-CN"/>
              </w:rPr>
              <w:t>日</w:t>
            </w:r>
          </w:p>
        </w:tc>
      </w:tr>
    </w:tbl>
    <w:p w14:paraId="4917F5E3">
      <w:pPr>
        <w:widowControl/>
        <w:jc w:val="left"/>
        <w:rPr>
          <w:rFonts w:ascii="黑体" w:hAnsi="黑体" w:eastAsia="黑体"/>
          <w:sz w:val="32"/>
          <w:szCs w:val="32"/>
        </w:rPr>
      </w:pPr>
      <w:r>
        <w:rPr>
          <w:rFonts w:ascii="黑体" w:hAnsi="黑体" w:eastAsia="黑体"/>
          <w:sz w:val="32"/>
          <w:szCs w:val="32"/>
        </w:rPr>
        <w:br w:type="page"/>
      </w:r>
    </w:p>
    <w:p w14:paraId="320D9704">
      <w:pPr>
        <w:rPr>
          <w:rFonts w:ascii="黑体" w:hAnsi="黑体" w:eastAsia="黑体"/>
          <w:sz w:val="32"/>
          <w:szCs w:val="32"/>
        </w:rPr>
      </w:pPr>
      <w:r>
        <w:rPr>
          <w:rFonts w:hint="eastAsia" w:ascii="黑体" w:hAnsi="黑体" w:eastAsia="黑体"/>
          <w:sz w:val="32"/>
          <w:szCs w:val="32"/>
        </w:rPr>
        <w:t>附件2</w:t>
      </w:r>
      <w:r>
        <w:rPr>
          <w:rFonts w:ascii="黑体" w:hAnsi="黑体" w:eastAsia="黑体"/>
          <w:sz w:val="32"/>
          <w:szCs w:val="32"/>
        </w:rPr>
        <w:t xml:space="preserve"> </w:t>
      </w:r>
    </w:p>
    <w:p w14:paraId="1B89A656">
      <w:pPr>
        <w:widowControl/>
        <w:adjustRightInd w:val="0"/>
        <w:snapToGrid w:val="0"/>
        <w:spacing w:line="580" w:lineRule="exact"/>
        <w:jc w:val="center"/>
        <w:rPr>
          <w:rFonts w:ascii="方正小标宋简体" w:hAnsi="方正小标宋简体" w:eastAsia="方正小标宋简体" w:cs="方正小标宋简体"/>
          <w:color w:val="000000"/>
          <w:kern w:val="0"/>
          <w:sz w:val="44"/>
          <w:szCs w:val="44"/>
        </w:rPr>
      </w:pPr>
    </w:p>
    <w:p w14:paraId="0CB745C1">
      <w:pPr>
        <w:widowControl/>
        <w:adjustRightInd w:val="0"/>
        <w:snapToGrid w:val="0"/>
        <w:spacing w:line="58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受理通知书</w:t>
      </w:r>
    </w:p>
    <w:p w14:paraId="35299F65">
      <w:pPr>
        <w:widowControl/>
        <w:spacing w:line="580" w:lineRule="exact"/>
        <w:ind w:firstLine="640"/>
        <w:jc w:val="right"/>
        <w:rPr>
          <w:rFonts w:ascii="仿宋_GB2312" w:hAnsi="仿宋_GB2312" w:eastAsia="仿宋_GB2312" w:cs="仿宋_GB2312"/>
          <w:color w:val="000000"/>
          <w:kern w:val="0"/>
          <w:sz w:val="32"/>
          <w:szCs w:val="32"/>
        </w:rPr>
      </w:pPr>
      <w:r>
        <w:rPr>
          <w:rFonts w:hint="eastAsia" w:ascii="黑体" w:hAnsi="黑体" w:eastAsia="黑体" w:cs="黑体"/>
          <w:sz w:val="32"/>
          <w:szCs w:val="32"/>
        </w:rPr>
        <w:t>XX分中心【**】第*号</w:t>
      </w:r>
      <w:r>
        <w:rPr>
          <w:rFonts w:hint="eastAsia" w:ascii="仿宋_GB2312" w:hAnsi="仿宋_GB2312" w:eastAsia="仿宋_GB2312" w:cs="仿宋_GB2312"/>
          <w:color w:val="000000"/>
          <w:kern w:val="0"/>
          <w:sz w:val="32"/>
          <w:szCs w:val="32"/>
        </w:rPr>
        <w:t xml:space="preserve"> </w:t>
      </w:r>
    </w:p>
    <w:p w14:paraId="43F916EC">
      <w:pPr>
        <w:widowControl/>
        <w:spacing w:line="580" w:lineRule="exact"/>
        <w:ind w:firstLine="640"/>
        <w:jc w:val="right"/>
        <w:rPr>
          <w:rFonts w:ascii="仿宋_GB2312" w:hAnsi="仿宋_GB2312" w:eastAsia="仿宋_GB2312" w:cs="仿宋_GB2312"/>
          <w:color w:val="000000"/>
          <w:kern w:val="0"/>
          <w:sz w:val="32"/>
          <w:szCs w:val="32"/>
        </w:rPr>
      </w:pPr>
    </w:p>
    <w:p w14:paraId="6D7CE493">
      <w:pPr>
        <w:widowControl/>
        <w:spacing w:line="58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***（申请人/机构全称）</w:t>
      </w:r>
      <w:r>
        <w:rPr>
          <w:rFonts w:hint="eastAsia" w:ascii="仿宋_GB2312" w:hAnsi="仿宋_GB2312" w:eastAsia="仿宋_GB2312" w:cs="仿宋_GB2312"/>
          <w:color w:val="000000"/>
          <w:kern w:val="0"/>
          <w:sz w:val="32"/>
          <w:szCs w:val="32"/>
        </w:rPr>
        <w:t>：</w:t>
      </w:r>
    </w:p>
    <w:p w14:paraId="148853F2">
      <w:pPr>
        <w:widowControl/>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***年**月**日，我中心收到你方的海外知识产权纠纷应对指导申请书。现经审查，贵单位的申请指导事项属于我中心业务范围，且符合受理条件，我中心决定受理本次委托。</w:t>
      </w:r>
    </w:p>
    <w:p w14:paraId="52242ECF">
      <w:pPr>
        <w:widowControl/>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根据指导案件的技术领域和专业要求，该案件属于普通/重大疑难纠纷，现拟派指导专家***（专业：***，职称：***），依据申请事项、申请材料做出指导意见。</w:t>
      </w:r>
    </w:p>
    <w:p w14:paraId="69166985">
      <w:pPr>
        <w:widowControl/>
        <w:adjustRightInd w:val="0"/>
        <w:snapToGrid w:val="0"/>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特此通知。</w:t>
      </w:r>
    </w:p>
    <w:p w14:paraId="6C46C9CE">
      <w:pPr>
        <w:widowControl/>
        <w:adjustRightInd w:val="0"/>
        <w:snapToGrid w:val="0"/>
        <w:spacing w:line="580" w:lineRule="exact"/>
        <w:jc w:val="left"/>
        <w:rPr>
          <w:rFonts w:ascii="仿宋_GB2312" w:hAnsi="仿宋_GB2312" w:eastAsia="仿宋_GB2312" w:cs="仿宋_GB2312"/>
          <w:color w:val="000000"/>
          <w:kern w:val="0"/>
          <w:sz w:val="32"/>
          <w:szCs w:val="32"/>
        </w:rPr>
      </w:pPr>
    </w:p>
    <w:p w14:paraId="7C59FD14">
      <w:pPr>
        <w:widowControl/>
        <w:adjustRightInd w:val="0"/>
        <w:snapToGrid w:val="0"/>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联 系 人：***</w:t>
      </w:r>
    </w:p>
    <w:p w14:paraId="5BD0A107">
      <w:pPr>
        <w:widowControl/>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联系地址：***</w:t>
      </w:r>
    </w:p>
    <w:p w14:paraId="56ACC1E3">
      <w:pPr>
        <w:adjustRightInd w:val="0"/>
        <w:snapToGrid w:val="0"/>
        <w:spacing w:line="580" w:lineRule="exact"/>
        <w:rPr>
          <w:rFonts w:ascii="仿宋_GB2312" w:hAnsi="仿宋_GB2312" w:eastAsia="仿宋_GB2312" w:cs="仿宋_GB2312"/>
          <w:sz w:val="32"/>
          <w:szCs w:val="32"/>
        </w:rPr>
      </w:pPr>
    </w:p>
    <w:p w14:paraId="19B3961C">
      <w:pPr>
        <w:adjustRightInd w:val="0"/>
        <w:snapToGrid w:val="0"/>
        <w:spacing w:line="580" w:lineRule="exact"/>
        <w:rPr>
          <w:rFonts w:ascii="仿宋_GB2312" w:hAnsi="仿宋_GB2312" w:eastAsia="仿宋_GB2312" w:cs="仿宋_GB2312"/>
          <w:sz w:val="32"/>
          <w:szCs w:val="32"/>
        </w:rPr>
      </w:pPr>
    </w:p>
    <w:p w14:paraId="2E5CB65F">
      <w:pPr>
        <w:adjustRightInd w:val="0"/>
        <w:snapToGrid w:val="0"/>
        <w:spacing w:line="580" w:lineRule="exact"/>
        <w:rPr>
          <w:rFonts w:ascii="仿宋_GB2312" w:hAnsi="仿宋_GB2312" w:eastAsia="仿宋_GB2312" w:cs="仿宋_GB2312"/>
          <w:sz w:val="32"/>
          <w:szCs w:val="32"/>
        </w:rPr>
      </w:pPr>
    </w:p>
    <w:p w14:paraId="26255F89">
      <w:pPr>
        <w:adjustRightInd w:val="0"/>
        <w:snapToGrid w:val="0"/>
        <w:spacing w:line="58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海外知识产权纠纷应对指导XX分中心</w:t>
      </w:r>
    </w:p>
    <w:p w14:paraId="6A15FBCB">
      <w:pPr>
        <w:wordWrap w:val="0"/>
        <w:adjustRightInd w:val="0"/>
        <w:snapToGrid w:val="0"/>
        <w:spacing w:line="580" w:lineRule="exact"/>
        <w:jc w:val="right"/>
        <w:rPr>
          <w:rFonts w:ascii="黑体" w:hAnsi="黑体" w:eastAsia="黑体" w:cs="黑体"/>
          <w:sz w:val="32"/>
          <w:szCs w:val="32"/>
        </w:rPr>
      </w:pPr>
      <w:r>
        <w:rPr>
          <w:rFonts w:hint="eastAsia" w:ascii="仿宋_GB2312" w:hAnsi="仿宋_GB2312" w:eastAsia="仿宋_GB2312" w:cs="仿宋_GB2312"/>
          <w:sz w:val="32"/>
          <w:szCs w:val="32"/>
        </w:rPr>
        <w:t xml:space="preserve">     年     月     日     </w:t>
      </w:r>
      <w:r>
        <w:rPr>
          <w:rFonts w:hint="eastAsia" w:ascii="黑体" w:hAnsi="黑体" w:eastAsia="黑体" w:cs="黑体"/>
          <w:sz w:val="32"/>
          <w:szCs w:val="32"/>
        </w:rPr>
        <w:t xml:space="preserve">   </w:t>
      </w:r>
    </w:p>
    <w:p w14:paraId="1220808B">
      <w:pPr>
        <w:widowControl/>
        <w:jc w:val="left"/>
        <w:rPr>
          <w:rFonts w:ascii="黑体" w:hAnsi="黑体" w:eastAsia="黑体"/>
          <w:sz w:val="32"/>
          <w:szCs w:val="32"/>
        </w:rPr>
      </w:pPr>
      <w:r>
        <w:rPr>
          <w:rFonts w:ascii="黑体" w:hAnsi="黑体" w:eastAsia="黑体"/>
          <w:sz w:val="32"/>
          <w:szCs w:val="32"/>
        </w:rPr>
        <w:br w:type="page"/>
      </w:r>
    </w:p>
    <w:p w14:paraId="6D116910">
      <w:pPr>
        <w:rPr>
          <w:rFonts w:ascii="黑体" w:hAnsi="黑体" w:eastAsia="黑体"/>
          <w:sz w:val="32"/>
          <w:szCs w:val="32"/>
        </w:rPr>
      </w:pPr>
      <w:r>
        <w:rPr>
          <w:rFonts w:hint="eastAsia" w:ascii="黑体" w:hAnsi="黑体" w:eastAsia="黑体"/>
          <w:sz w:val="32"/>
          <w:szCs w:val="32"/>
        </w:rPr>
        <w:t>附件3</w:t>
      </w:r>
      <w:r>
        <w:rPr>
          <w:rFonts w:ascii="黑体" w:hAnsi="黑体" w:eastAsia="黑体"/>
          <w:sz w:val="32"/>
          <w:szCs w:val="32"/>
        </w:rPr>
        <w:t xml:space="preserve"> </w:t>
      </w:r>
    </w:p>
    <w:p w14:paraId="760BE00C">
      <w:pPr>
        <w:adjustRightInd w:val="0"/>
        <w:snapToGrid w:val="0"/>
        <w:spacing w:line="560" w:lineRule="exact"/>
        <w:jc w:val="center"/>
        <w:rPr>
          <w:rFonts w:ascii="方正小标宋简体" w:hAnsi="方正小标宋简体" w:eastAsia="方正小标宋简体" w:cs="方正小标宋简体"/>
          <w:sz w:val="44"/>
          <w:szCs w:val="44"/>
        </w:rPr>
      </w:pPr>
    </w:p>
    <w:p w14:paraId="5208FF2F">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不予受理通知书</w:t>
      </w:r>
    </w:p>
    <w:p w14:paraId="4B1709F4">
      <w:pPr>
        <w:adjustRightInd w:val="0"/>
        <w:snapToGrid w:val="0"/>
        <w:spacing w:line="580" w:lineRule="exact"/>
        <w:jc w:val="left"/>
        <w:rPr>
          <w:rFonts w:ascii="黑体" w:hAnsi="黑体" w:eastAsia="黑体" w:cs="黑体"/>
          <w:sz w:val="32"/>
          <w:szCs w:val="32"/>
        </w:rPr>
      </w:pPr>
    </w:p>
    <w:p w14:paraId="3EB41B78">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***（申请人/机构全称）：</w:t>
      </w:r>
    </w:p>
    <w:p w14:paraId="42804199">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***年***月***日，你方因**********申请我中心进行纠纷应对指导。</w:t>
      </w:r>
    </w:p>
    <w:p w14:paraId="729BFB4B">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经审查，因*******原因（写明具体原因），根据《京津冀地区海外知识产权纠纷应对指导工作规程》第**条第**款，我中心决定不予受理，并退还相关材料。</w:t>
      </w:r>
    </w:p>
    <w:p w14:paraId="1F9043F3">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6D633213">
      <w:pPr>
        <w:adjustRightInd w:val="0"/>
        <w:snapToGrid w:val="0"/>
        <w:spacing w:line="580" w:lineRule="exact"/>
        <w:rPr>
          <w:rFonts w:ascii="仿宋_GB2312" w:hAnsi="仿宋_GB2312" w:eastAsia="仿宋_GB2312" w:cs="仿宋_GB2312"/>
          <w:sz w:val="32"/>
          <w:szCs w:val="32"/>
        </w:rPr>
      </w:pPr>
    </w:p>
    <w:p w14:paraId="18E9755B">
      <w:pPr>
        <w:adjustRightInd w:val="0"/>
        <w:snapToGrid w:val="0"/>
        <w:spacing w:line="580" w:lineRule="exact"/>
        <w:rPr>
          <w:rFonts w:ascii="仿宋_GB2312" w:hAnsi="仿宋_GB2312" w:eastAsia="仿宋_GB2312" w:cs="仿宋_GB2312"/>
          <w:sz w:val="32"/>
          <w:szCs w:val="32"/>
        </w:rPr>
      </w:pPr>
    </w:p>
    <w:p w14:paraId="53B29881">
      <w:pPr>
        <w:adjustRightInd w:val="0"/>
        <w:snapToGrid w:val="0"/>
        <w:spacing w:line="580" w:lineRule="exact"/>
        <w:rPr>
          <w:rFonts w:ascii="仿宋_GB2312" w:hAnsi="仿宋_GB2312" w:eastAsia="仿宋_GB2312" w:cs="仿宋_GB2312"/>
          <w:sz w:val="32"/>
          <w:szCs w:val="32"/>
        </w:rPr>
      </w:pPr>
    </w:p>
    <w:p w14:paraId="48548BD2">
      <w:pPr>
        <w:adjustRightInd w:val="0"/>
        <w:snapToGrid w:val="0"/>
        <w:spacing w:line="580" w:lineRule="exact"/>
        <w:rPr>
          <w:rFonts w:ascii="仿宋_GB2312" w:hAnsi="仿宋_GB2312" w:eastAsia="仿宋_GB2312" w:cs="仿宋_GB2312"/>
          <w:sz w:val="32"/>
          <w:szCs w:val="32"/>
        </w:rPr>
      </w:pPr>
    </w:p>
    <w:p w14:paraId="1D8A511B">
      <w:pPr>
        <w:adjustRightInd w:val="0"/>
        <w:snapToGrid w:val="0"/>
        <w:spacing w:line="58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海外知识产权纠纷应对指导XX分中心</w:t>
      </w:r>
    </w:p>
    <w:p w14:paraId="62AAF646">
      <w:pPr>
        <w:wordWrap w:val="0"/>
        <w:adjustRightInd w:val="0"/>
        <w:snapToGrid w:val="0"/>
        <w:spacing w:line="580" w:lineRule="exact"/>
        <w:jc w:val="right"/>
        <w:rPr>
          <w:rFonts w:ascii="黑体" w:hAnsi="黑体" w:eastAsia="黑体" w:cs="黑体"/>
          <w:sz w:val="32"/>
          <w:szCs w:val="32"/>
        </w:rPr>
      </w:pPr>
      <w:r>
        <w:rPr>
          <w:rFonts w:hint="eastAsia" w:ascii="仿宋_GB2312" w:hAnsi="仿宋_GB2312" w:eastAsia="仿宋_GB2312" w:cs="仿宋_GB2312"/>
          <w:sz w:val="32"/>
          <w:szCs w:val="32"/>
        </w:rPr>
        <w:t xml:space="preserve">     年     月     日     </w:t>
      </w:r>
      <w:r>
        <w:rPr>
          <w:rFonts w:hint="eastAsia" w:ascii="黑体" w:hAnsi="黑体" w:eastAsia="黑体" w:cs="黑体"/>
          <w:sz w:val="32"/>
          <w:szCs w:val="32"/>
        </w:rPr>
        <w:t xml:space="preserve">   </w:t>
      </w:r>
    </w:p>
    <w:p w14:paraId="275B2818">
      <w:pPr>
        <w:adjustRightInd w:val="0"/>
        <w:snapToGrid w:val="0"/>
        <w:spacing w:line="560" w:lineRule="exact"/>
        <w:jc w:val="left"/>
        <w:rPr>
          <w:rFonts w:ascii="黑体" w:hAnsi="黑体" w:eastAsia="黑体" w:cs="黑体"/>
          <w:sz w:val="32"/>
          <w:szCs w:val="32"/>
        </w:rPr>
      </w:pPr>
    </w:p>
    <w:p w14:paraId="012D95E4"/>
    <w:p w14:paraId="636CA9FE"/>
    <w:p w14:paraId="67E63630">
      <w:pPr>
        <w:widowControl/>
        <w:jc w:val="left"/>
        <w:rPr>
          <w:rFonts w:ascii="黑体" w:hAnsi="黑体" w:eastAsia="黑体"/>
          <w:sz w:val="32"/>
          <w:szCs w:val="32"/>
        </w:rPr>
      </w:pPr>
      <w:r>
        <w:rPr>
          <w:rFonts w:ascii="黑体" w:hAnsi="黑体" w:eastAsia="黑体"/>
          <w:sz w:val="32"/>
          <w:szCs w:val="32"/>
        </w:rPr>
        <w:br w:type="page"/>
      </w:r>
    </w:p>
    <w:p w14:paraId="2FA217A4">
      <w:pPr>
        <w:rPr>
          <w:rFonts w:ascii="黑体" w:hAnsi="黑体" w:eastAsia="黑体"/>
          <w:sz w:val="32"/>
          <w:szCs w:val="32"/>
        </w:rPr>
      </w:pPr>
      <w:r>
        <w:rPr>
          <w:rFonts w:hint="eastAsia" w:ascii="黑体" w:hAnsi="黑体" w:eastAsia="黑体"/>
          <w:sz w:val="32"/>
          <w:szCs w:val="32"/>
        </w:rPr>
        <w:t>附件4</w:t>
      </w:r>
      <w:r>
        <w:rPr>
          <w:rFonts w:ascii="黑体" w:hAnsi="黑体" w:eastAsia="黑体"/>
          <w:sz w:val="32"/>
          <w:szCs w:val="32"/>
        </w:rPr>
        <w:t xml:space="preserve"> </w:t>
      </w:r>
    </w:p>
    <w:p w14:paraId="56393681">
      <w:pPr>
        <w:adjustRightInd w:val="0"/>
        <w:snapToGrid w:val="0"/>
        <w:jc w:val="center"/>
        <w:rPr>
          <w:rFonts w:ascii="方正小标宋简体" w:hAnsi="方正小标宋简体" w:eastAsia="方正小标宋简体" w:cs="方正小标宋简体"/>
          <w:sz w:val="44"/>
          <w:szCs w:val="44"/>
        </w:rPr>
      </w:pPr>
    </w:p>
    <w:p w14:paraId="34544D3E">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补充材料通知书</w:t>
      </w:r>
    </w:p>
    <w:p w14:paraId="407F87CF">
      <w:pPr>
        <w:spacing w:line="580" w:lineRule="exact"/>
        <w:rPr>
          <w:rFonts w:ascii="黑体" w:hAnsi="黑体" w:eastAsia="黑体" w:cs="黑体"/>
          <w:sz w:val="32"/>
          <w:szCs w:val="32"/>
        </w:rPr>
      </w:pPr>
    </w:p>
    <w:p w14:paraId="339391FC">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***（申请人/机构全称）：</w:t>
      </w:r>
    </w:p>
    <w:p w14:paraId="41ED2255">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***年***月***日，你方因**********申请我中心进行纠纷应对指导。</w:t>
      </w:r>
    </w:p>
    <w:p w14:paraId="1C80060F">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经审查，你方提交的申请材料缺少**********内容，根据《京津冀地区海外知识产权纠纷应对指导工作规程》第**条第**款，现通知你方在5个工作日内进行补正，请一次性补齐相关材料。</w:t>
      </w:r>
    </w:p>
    <w:p w14:paraId="45A31E34">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5EFD8232">
      <w:pPr>
        <w:adjustRightInd w:val="0"/>
        <w:snapToGrid w:val="0"/>
        <w:spacing w:line="580" w:lineRule="exact"/>
        <w:rPr>
          <w:rFonts w:ascii="仿宋_GB2312" w:hAnsi="仿宋_GB2312" w:eastAsia="仿宋_GB2312" w:cs="仿宋_GB2312"/>
          <w:sz w:val="32"/>
          <w:szCs w:val="32"/>
        </w:rPr>
      </w:pPr>
    </w:p>
    <w:p w14:paraId="68A44467">
      <w:pPr>
        <w:adjustRightInd w:val="0"/>
        <w:snapToGrid w:val="0"/>
        <w:spacing w:line="580" w:lineRule="exact"/>
        <w:rPr>
          <w:rFonts w:ascii="仿宋_GB2312" w:hAnsi="仿宋_GB2312" w:eastAsia="仿宋_GB2312" w:cs="仿宋_GB2312"/>
          <w:sz w:val="32"/>
          <w:szCs w:val="32"/>
        </w:rPr>
      </w:pPr>
    </w:p>
    <w:p w14:paraId="0E4D965A">
      <w:pPr>
        <w:adjustRightInd w:val="0"/>
        <w:snapToGrid w:val="0"/>
        <w:spacing w:line="580" w:lineRule="exact"/>
        <w:jc w:val="right"/>
        <w:rPr>
          <w:rFonts w:ascii="仿宋_GB2312" w:hAnsi="仿宋_GB2312" w:eastAsia="仿宋_GB2312" w:cs="仿宋_GB2312"/>
          <w:sz w:val="32"/>
          <w:szCs w:val="32"/>
        </w:rPr>
      </w:pPr>
    </w:p>
    <w:p w14:paraId="67670C9C">
      <w:pPr>
        <w:adjustRightInd w:val="0"/>
        <w:snapToGrid w:val="0"/>
        <w:spacing w:line="58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海外知识产权纠纷应对指导XX分中心</w:t>
      </w:r>
    </w:p>
    <w:p w14:paraId="7A55BE4F">
      <w:pPr>
        <w:wordWrap w:val="0"/>
        <w:adjustRightInd w:val="0"/>
        <w:snapToGrid w:val="0"/>
        <w:spacing w:line="580" w:lineRule="exact"/>
        <w:jc w:val="right"/>
        <w:rPr>
          <w:rFonts w:ascii="黑体" w:hAnsi="黑体" w:eastAsia="黑体" w:cs="黑体"/>
          <w:sz w:val="32"/>
          <w:szCs w:val="32"/>
        </w:rPr>
      </w:pPr>
      <w:r>
        <w:rPr>
          <w:rFonts w:hint="eastAsia" w:ascii="仿宋_GB2312" w:hAnsi="仿宋_GB2312" w:eastAsia="仿宋_GB2312" w:cs="仿宋_GB2312"/>
          <w:sz w:val="32"/>
          <w:szCs w:val="32"/>
        </w:rPr>
        <w:t xml:space="preserve">     年     月     日     </w:t>
      </w:r>
      <w:r>
        <w:rPr>
          <w:rFonts w:hint="eastAsia" w:ascii="黑体" w:hAnsi="黑体" w:eastAsia="黑体" w:cs="黑体"/>
          <w:sz w:val="32"/>
          <w:szCs w:val="32"/>
        </w:rPr>
        <w:t xml:space="preserve">   </w:t>
      </w:r>
    </w:p>
    <w:p w14:paraId="20BC66FC">
      <w:pPr>
        <w:widowControl/>
        <w:jc w:val="left"/>
        <w:rPr>
          <w:rFonts w:ascii="黑体" w:hAnsi="黑体" w:eastAsia="黑体"/>
          <w:sz w:val="32"/>
          <w:szCs w:val="32"/>
        </w:rPr>
      </w:pPr>
      <w:r>
        <w:rPr>
          <w:rFonts w:ascii="黑体" w:hAnsi="黑体" w:eastAsia="黑体"/>
          <w:sz w:val="32"/>
          <w:szCs w:val="32"/>
        </w:rPr>
        <w:br w:type="page"/>
      </w:r>
    </w:p>
    <w:p w14:paraId="2C56F5FC">
      <w:pPr>
        <w:rPr>
          <w:rFonts w:ascii="黑体" w:hAnsi="黑体" w:eastAsia="黑体"/>
          <w:sz w:val="32"/>
          <w:szCs w:val="32"/>
        </w:rPr>
      </w:pPr>
      <w:r>
        <w:rPr>
          <w:rFonts w:hint="eastAsia" w:ascii="黑体" w:hAnsi="黑体" w:eastAsia="黑体"/>
          <w:sz w:val="32"/>
          <w:szCs w:val="32"/>
        </w:rPr>
        <w:t>附件5</w:t>
      </w:r>
      <w:r>
        <w:rPr>
          <w:rFonts w:ascii="黑体" w:hAnsi="黑体" w:eastAsia="黑体"/>
          <w:sz w:val="32"/>
          <w:szCs w:val="32"/>
        </w:rPr>
        <w:t xml:space="preserve"> </w:t>
      </w:r>
    </w:p>
    <w:p w14:paraId="19C79B57">
      <w:pPr>
        <w:spacing w:line="580" w:lineRule="exact"/>
        <w:jc w:val="center"/>
        <w:rPr>
          <w:rFonts w:ascii="方正小标宋简体" w:hAnsi="方正小标宋简体" w:eastAsia="方正小标宋简体" w:cs="方正小标宋简体"/>
          <w:sz w:val="44"/>
          <w:szCs w:val="44"/>
        </w:rPr>
      </w:pPr>
    </w:p>
    <w:p w14:paraId="6C23F380">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终止指导通知书</w:t>
      </w:r>
    </w:p>
    <w:p w14:paraId="345D46B3">
      <w:pPr>
        <w:spacing w:line="580" w:lineRule="exact"/>
        <w:jc w:val="center"/>
        <w:rPr>
          <w:rFonts w:ascii="方正小标宋简体" w:hAnsi="方正小标宋简体" w:eastAsia="方正小标宋简体" w:cs="方正小标宋简体"/>
          <w:sz w:val="44"/>
          <w:szCs w:val="44"/>
        </w:rPr>
      </w:pPr>
    </w:p>
    <w:p w14:paraId="4D8C2E2E">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***（申请人/机构全称）：</w:t>
      </w:r>
    </w:p>
    <w:p w14:paraId="52071E03">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***年***月***日，你方因**********申请我中心进行纠纷应对指导。</w:t>
      </w:r>
    </w:p>
    <w:p w14:paraId="39B21CA8">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现因**********，根据《京津冀地区海外知识产权纠纷应对指导工作规程》第**条第**款规定，终止指导，并退还相关材料。</w:t>
      </w:r>
    </w:p>
    <w:p w14:paraId="47185281">
      <w:pPr>
        <w:adjustRightInd w:val="0"/>
        <w:snapToGrid w:val="0"/>
        <w:spacing w:line="580" w:lineRule="exact"/>
        <w:rPr>
          <w:rFonts w:ascii="仿宋_GB2312" w:hAnsi="仿宋_GB2312" w:eastAsia="仿宋_GB2312" w:cs="仿宋_GB2312"/>
          <w:sz w:val="32"/>
          <w:szCs w:val="32"/>
        </w:rPr>
      </w:pPr>
    </w:p>
    <w:p w14:paraId="59A09FCA">
      <w:pPr>
        <w:adjustRightInd w:val="0"/>
        <w:snapToGrid w:val="0"/>
        <w:spacing w:line="580" w:lineRule="exact"/>
        <w:rPr>
          <w:rFonts w:ascii="仿宋_GB2312" w:hAnsi="仿宋_GB2312" w:eastAsia="仿宋_GB2312" w:cs="仿宋_GB2312"/>
          <w:sz w:val="32"/>
          <w:szCs w:val="32"/>
        </w:rPr>
      </w:pPr>
    </w:p>
    <w:p w14:paraId="686D17DE">
      <w:pPr>
        <w:adjustRightInd w:val="0"/>
        <w:snapToGrid w:val="0"/>
        <w:spacing w:line="580" w:lineRule="exact"/>
        <w:rPr>
          <w:rFonts w:ascii="仿宋_GB2312" w:hAnsi="仿宋_GB2312" w:eastAsia="仿宋_GB2312" w:cs="仿宋_GB2312"/>
          <w:sz w:val="32"/>
          <w:szCs w:val="32"/>
        </w:rPr>
      </w:pPr>
    </w:p>
    <w:p w14:paraId="7C25BF56">
      <w:pPr>
        <w:adjustRightInd w:val="0"/>
        <w:snapToGrid w:val="0"/>
        <w:spacing w:line="580" w:lineRule="exact"/>
        <w:jc w:val="right"/>
        <w:rPr>
          <w:rFonts w:ascii="仿宋_GB2312" w:hAnsi="仿宋_GB2312" w:eastAsia="仿宋_GB2312" w:cs="仿宋_GB2312"/>
          <w:sz w:val="32"/>
          <w:szCs w:val="32"/>
        </w:rPr>
      </w:pPr>
    </w:p>
    <w:p w14:paraId="721DF265">
      <w:pPr>
        <w:adjustRightInd w:val="0"/>
        <w:snapToGrid w:val="0"/>
        <w:spacing w:line="58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海外知识产权纠纷应对指导XX分中心</w:t>
      </w:r>
    </w:p>
    <w:p w14:paraId="10263D66">
      <w:pPr>
        <w:wordWrap w:val="0"/>
        <w:adjustRightInd w:val="0"/>
        <w:snapToGrid w:val="0"/>
        <w:spacing w:line="580" w:lineRule="exact"/>
        <w:jc w:val="right"/>
        <w:rPr>
          <w:rFonts w:ascii="黑体" w:hAnsi="黑体" w:eastAsia="黑体" w:cs="黑体"/>
          <w:sz w:val="32"/>
          <w:szCs w:val="32"/>
        </w:rPr>
      </w:pPr>
      <w:r>
        <w:rPr>
          <w:rFonts w:hint="eastAsia" w:ascii="仿宋_GB2312" w:hAnsi="仿宋_GB2312" w:eastAsia="仿宋_GB2312" w:cs="仿宋_GB2312"/>
          <w:sz w:val="32"/>
          <w:szCs w:val="32"/>
        </w:rPr>
        <w:t xml:space="preserve">     年     月     日     </w:t>
      </w:r>
      <w:r>
        <w:rPr>
          <w:rFonts w:hint="eastAsia" w:ascii="黑体" w:hAnsi="黑体" w:eastAsia="黑体" w:cs="黑体"/>
          <w:sz w:val="32"/>
          <w:szCs w:val="32"/>
        </w:rPr>
        <w:t xml:space="preserve">   </w:t>
      </w:r>
    </w:p>
    <w:p w14:paraId="7D5A5FD9">
      <w:pPr>
        <w:widowControl/>
        <w:jc w:val="left"/>
        <w:rPr>
          <w:rFonts w:ascii="黑体" w:hAnsi="黑体" w:eastAsia="黑体" w:cstheme="majorBidi"/>
          <w:bCs/>
          <w:sz w:val="32"/>
          <w:szCs w:val="32"/>
        </w:rPr>
      </w:pPr>
      <w:r>
        <w:br w:type="page"/>
      </w:r>
    </w:p>
    <w:p w14:paraId="6643AA8A">
      <w:pPr>
        <w:rPr>
          <w:rFonts w:ascii="黑体" w:hAnsi="黑体" w:eastAsia="黑体"/>
          <w:sz w:val="32"/>
          <w:szCs w:val="32"/>
        </w:rPr>
      </w:pPr>
      <w:r>
        <w:rPr>
          <w:rFonts w:hint="eastAsia" w:ascii="黑体" w:hAnsi="黑体" w:eastAsia="黑体"/>
          <w:sz w:val="32"/>
          <w:szCs w:val="32"/>
        </w:rPr>
        <w:t>附件6</w:t>
      </w:r>
      <w:r>
        <w:rPr>
          <w:rFonts w:ascii="黑体" w:hAnsi="黑体" w:eastAsia="黑体"/>
          <w:sz w:val="32"/>
          <w:szCs w:val="32"/>
        </w:rPr>
        <w:t xml:space="preserve"> </w:t>
      </w:r>
    </w:p>
    <w:p w14:paraId="577F0853">
      <w:pPr>
        <w:adjustRightInd w:val="0"/>
        <w:snapToGrid w:val="0"/>
        <w:spacing w:line="580" w:lineRule="exact"/>
        <w:jc w:val="center"/>
        <w:rPr>
          <w:rFonts w:ascii="方正小标宋简体" w:hAnsi="方正小标宋简体" w:eastAsia="方正小标宋简体" w:cs="方正小标宋简体"/>
          <w:sz w:val="44"/>
          <w:szCs w:val="44"/>
        </w:rPr>
      </w:pPr>
    </w:p>
    <w:p w14:paraId="58A4871B">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海外知识产权纠纷应对指导意见书</w:t>
      </w:r>
    </w:p>
    <w:p w14:paraId="5D2430DD">
      <w:pPr>
        <w:adjustRightInd w:val="0"/>
        <w:snapToGrid w:val="0"/>
        <w:spacing w:line="580" w:lineRule="exact"/>
        <w:ind w:firstLine="640"/>
        <w:jc w:val="right"/>
        <w:rPr>
          <w:rFonts w:ascii="黑体" w:hAnsi="黑体" w:eastAsia="黑体" w:cs="黑体"/>
          <w:sz w:val="32"/>
          <w:szCs w:val="32"/>
        </w:rPr>
      </w:pPr>
      <w:r>
        <w:rPr>
          <w:rFonts w:hint="eastAsia" w:ascii="黑体" w:hAnsi="黑体" w:eastAsia="黑体" w:cs="黑体"/>
          <w:sz w:val="32"/>
          <w:szCs w:val="32"/>
        </w:rPr>
        <w:t>xx中心【***</w:t>
      </w:r>
      <w:r>
        <w:rPr>
          <w:rFonts w:ascii="黑体" w:hAnsi="黑体" w:eastAsia="黑体" w:cs="黑体"/>
          <w:sz w:val="32"/>
          <w:szCs w:val="32"/>
        </w:rPr>
        <w:t>*</w:t>
      </w:r>
      <w:r>
        <w:rPr>
          <w:rFonts w:hint="eastAsia" w:ascii="黑体" w:hAnsi="黑体" w:eastAsia="黑体" w:cs="黑体"/>
          <w:sz w:val="32"/>
          <w:szCs w:val="32"/>
        </w:rPr>
        <w:t>】第*号</w:t>
      </w:r>
    </w:p>
    <w:p w14:paraId="5129EC1A">
      <w:pPr>
        <w:adjustRightInd w:val="0"/>
        <w:snapToGrid w:val="0"/>
        <w:spacing w:line="580" w:lineRule="exact"/>
        <w:ind w:firstLine="640"/>
        <w:jc w:val="right"/>
        <w:rPr>
          <w:rFonts w:ascii="黑体" w:hAnsi="黑体" w:eastAsia="黑体" w:cs="黑体"/>
          <w:sz w:val="32"/>
          <w:szCs w:val="32"/>
        </w:rPr>
      </w:pPr>
    </w:p>
    <w:p w14:paraId="08459841">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2A2A0A18">
      <w:pPr>
        <w:adjustRightInd w:val="0"/>
        <w:snapToGrid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申请人：</w:t>
      </w:r>
    </w:p>
    <w:p w14:paraId="0C6A729A">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申请指导事项：</w:t>
      </w:r>
    </w:p>
    <w:p w14:paraId="2E04B053">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受理日期：</w:t>
      </w:r>
    </w:p>
    <w:p w14:paraId="6B5BD58B">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w:t>
      </w:r>
    </w:p>
    <w:p w14:paraId="2F01D7E1">
      <w:pPr>
        <w:adjustRightInd w:val="0"/>
        <w:snapToGrid w:val="0"/>
        <w:spacing w:line="58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指导日期：</w:t>
      </w:r>
    </w:p>
    <w:p w14:paraId="0163314B">
      <w:pPr>
        <w:adjustRightInd w:val="0"/>
        <w:snapToGrid w:val="0"/>
        <w:spacing w:line="58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指导专家：</w:t>
      </w:r>
    </w:p>
    <w:p w14:paraId="4890DF23">
      <w:pPr>
        <w:adjustRightInd w:val="0"/>
        <w:snapToGrid w:val="0"/>
        <w:spacing w:line="58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指导地点：</w:t>
      </w:r>
    </w:p>
    <w:p w14:paraId="5539E600">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二、指导摘要</w:t>
      </w:r>
    </w:p>
    <w:p w14:paraId="7733B2B6">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根据***的规定，对申请人***提出的***进行分析指导。</w:t>
      </w:r>
    </w:p>
    <w:p w14:paraId="73FD4334">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三、指导工作过程</w:t>
      </w:r>
    </w:p>
    <w:p w14:paraId="004B4480">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1.**年**月**日，XX分中心接受委托，并接收相关的申请材料；</w:t>
      </w:r>
    </w:p>
    <w:p w14:paraId="0D53C5E3">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2.**年**月**日，XX分中心就上述事项进行研究，联系海外纠纷应对指导专家**；</w:t>
      </w:r>
    </w:p>
    <w:p w14:paraId="69D86DCF">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3.**年**月**日-**日，专家研究申请材料；</w:t>
      </w:r>
    </w:p>
    <w:p w14:paraId="3F1B0E82">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4.**年**月**日，XX分中心与指导专家赴申请人所在地开展现场指导，与申请人进一步分析讨论纠纷情况及应对策略；</w:t>
      </w:r>
    </w:p>
    <w:p w14:paraId="7DF5A1EA">
      <w:pPr>
        <w:adjustRightInd w:val="0"/>
        <w:snapToGrid w:val="0"/>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日，专家形成指导意见；</w:t>
      </w:r>
    </w:p>
    <w:p w14:paraId="0C23BA6D">
      <w:pPr>
        <w:adjustRightInd w:val="0"/>
        <w:snapToGrid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6.**年**月**日，XX分中心</w:t>
      </w:r>
      <w:r>
        <w:rPr>
          <w:rFonts w:hint="eastAsia" w:ascii="仿宋_GB2312" w:hAnsi="仿宋_GB2312" w:eastAsia="仿宋_GB2312" w:cs="仿宋_GB2312"/>
          <w:color w:val="000000"/>
          <w:kern w:val="0"/>
          <w:sz w:val="32"/>
          <w:szCs w:val="32"/>
        </w:rPr>
        <w:t>形成正式海外知识产权纠纷应对指导意见。</w:t>
      </w:r>
    </w:p>
    <w:p w14:paraId="6BC1156E">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四、相关法律文件</w:t>
      </w:r>
    </w:p>
    <w:p w14:paraId="6200BF1C">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2A318BC5">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五、案件背景</w:t>
      </w:r>
    </w:p>
    <w:p w14:paraId="4A907240">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69C81CAF">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六、指导意见</w:t>
      </w:r>
    </w:p>
    <w:p w14:paraId="6DE43CED">
      <w:pPr>
        <w:adjustRightInd w:val="0"/>
        <w:snapToGrid w:val="0"/>
        <w:spacing w:line="58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w:t>
      </w:r>
      <w:r>
        <w:rPr>
          <w:rFonts w:ascii="楷体_GB2312" w:hAnsi="黑体" w:eastAsia="楷体_GB2312" w:cs="黑体"/>
          <w:sz w:val="32"/>
          <w:szCs w:val="32"/>
        </w:rPr>
        <w:t>XX</w:t>
      </w:r>
      <w:r>
        <w:rPr>
          <w:rFonts w:hint="eastAsia" w:ascii="楷体_GB2312" w:hAnsi="黑体" w:eastAsia="楷体_GB2312" w:cs="黑体"/>
          <w:sz w:val="32"/>
          <w:szCs w:val="32"/>
        </w:rPr>
        <w:t>国程序应对策略</w:t>
      </w:r>
    </w:p>
    <w:p w14:paraId="0CD4CDA8">
      <w:pPr>
        <w:adjustRightInd w:val="0"/>
        <w:snapToGrid w:val="0"/>
        <w:spacing w:line="580" w:lineRule="exact"/>
        <w:ind w:firstLine="640" w:firstLineChars="200"/>
        <w:rPr>
          <w:rFonts w:ascii="楷体_GB2312" w:hAnsi="黑体" w:eastAsia="楷体_GB2312" w:cs="黑体"/>
          <w:sz w:val="32"/>
          <w:szCs w:val="32"/>
        </w:rPr>
      </w:pPr>
    </w:p>
    <w:p w14:paraId="2774A925">
      <w:pPr>
        <w:adjustRightInd w:val="0"/>
        <w:snapToGrid w:val="0"/>
        <w:spacing w:line="58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（二）国内策应行动</w:t>
      </w:r>
    </w:p>
    <w:p w14:paraId="627632EA">
      <w:pPr>
        <w:adjustRightInd w:val="0"/>
        <w:snapToGrid w:val="0"/>
        <w:spacing w:line="580" w:lineRule="exact"/>
        <w:ind w:firstLine="640" w:firstLineChars="200"/>
        <w:rPr>
          <w:rFonts w:ascii="楷体_GB2312" w:hAnsi="黑体" w:eastAsia="楷体_GB2312" w:cs="黑体"/>
          <w:sz w:val="32"/>
          <w:szCs w:val="32"/>
        </w:rPr>
      </w:pPr>
    </w:p>
    <w:p w14:paraId="116024C3">
      <w:pPr>
        <w:adjustRightInd w:val="0"/>
        <w:snapToGrid w:val="0"/>
        <w:spacing w:line="58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（三）时间表预估</w:t>
      </w:r>
    </w:p>
    <w:p w14:paraId="726F0D73">
      <w:pPr>
        <w:adjustRightInd w:val="0"/>
        <w:snapToGrid w:val="0"/>
        <w:spacing w:line="58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w:t>
      </w:r>
    </w:p>
    <w:p w14:paraId="094364F4">
      <w:pPr>
        <w:adjustRightInd w:val="0"/>
        <w:snapToGrid w:val="0"/>
        <w:spacing w:line="580" w:lineRule="exact"/>
        <w:ind w:firstLine="640" w:firstLineChars="200"/>
        <w:rPr>
          <w:rFonts w:ascii="仿宋_GB2312" w:hAnsi="仿宋_GB2312" w:eastAsia="仿宋_GB2312" w:cs="仿宋_GB2312"/>
          <w:sz w:val="32"/>
          <w:szCs w:val="32"/>
        </w:rPr>
      </w:pPr>
    </w:p>
    <w:p w14:paraId="5579D14E">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海外知识产权纠纷应对指导专家意见书附后。</w:t>
      </w:r>
    </w:p>
    <w:p w14:paraId="481B4652">
      <w:pPr>
        <w:adjustRightInd w:val="0"/>
        <w:snapToGrid w:val="0"/>
        <w:spacing w:line="580" w:lineRule="exact"/>
        <w:ind w:firstLine="640" w:firstLineChars="200"/>
        <w:rPr>
          <w:rFonts w:ascii="仿宋_GB2312" w:hAnsi="仿宋_GB2312" w:eastAsia="仿宋_GB2312" w:cs="仿宋_GB2312"/>
          <w:sz w:val="32"/>
          <w:szCs w:val="32"/>
        </w:rPr>
      </w:pPr>
    </w:p>
    <w:p w14:paraId="11CE7AB4">
      <w:pPr>
        <w:adjustRightInd w:val="0"/>
        <w:snapToGrid w:val="0"/>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海外知识产权纠纷应对指导XX分中心</w:t>
      </w:r>
    </w:p>
    <w:p w14:paraId="1A804B66">
      <w:pPr>
        <w:adjustRightInd w:val="0"/>
        <w:snapToGrid w:val="0"/>
        <w:spacing w:line="580" w:lineRule="exact"/>
        <w:ind w:firstLine="640" w:firstLineChars="200"/>
        <w:jc w:val="center"/>
      </w:pPr>
      <w:r>
        <w:rPr>
          <w:rFonts w:hint="eastAsia" w:ascii="仿宋_GB2312" w:hAnsi="仿宋_GB2312" w:eastAsia="仿宋_GB2312" w:cs="仿宋_GB2312"/>
          <w:sz w:val="32"/>
          <w:szCs w:val="32"/>
        </w:rPr>
        <w:t xml:space="preserve">                  年  月  日</w:t>
      </w:r>
    </w:p>
    <w:p w14:paraId="2EA9AA5D">
      <w:pPr>
        <w:adjustRightInd w:val="0"/>
        <w:snapToGrid w:val="0"/>
        <w:spacing w:line="560" w:lineRule="exact"/>
        <w:jc w:val="left"/>
        <w:rPr>
          <w:rFonts w:ascii="黑体" w:hAnsi="黑体" w:eastAsia="黑体" w:cs="黑体"/>
          <w:sz w:val="32"/>
          <w:szCs w:val="32"/>
        </w:rPr>
      </w:pPr>
    </w:p>
    <w:p w14:paraId="6A06C666">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海外知识产权纠纷应对指导专家意见书</w:t>
      </w:r>
    </w:p>
    <w:p w14:paraId="4D2B6496">
      <w:pPr>
        <w:adjustRightInd w:val="0"/>
        <w:snapToGrid w:val="0"/>
        <w:spacing w:line="580" w:lineRule="exact"/>
        <w:ind w:firstLine="640" w:firstLineChars="200"/>
        <w:rPr>
          <w:rFonts w:ascii="黑体" w:hAnsi="黑体" w:eastAsia="黑体" w:cs="黑体"/>
          <w:sz w:val="32"/>
          <w:szCs w:val="32"/>
        </w:rPr>
      </w:pPr>
    </w:p>
    <w:p w14:paraId="11E47F86">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一、指导事项</w:t>
      </w:r>
    </w:p>
    <w:p w14:paraId="0FA893D7">
      <w:pPr>
        <w:adjustRightInd w:val="0"/>
        <w:snapToGrid w:val="0"/>
        <w:spacing w:line="580" w:lineRule="exact"/>
        <w:ind w:firstLine="640" w:firstLineChars="200"/>
        <w:rPr>
          <w:rFonts w:ascii="黑体" w:hAnsi="黑体" w:eastAsia="黑体" w:cs="黑体"/>
          <w:sz w:val="32"/>
          <w:szCs w:val="32"/>
        </w:rPr>
      </w:pPr>
    </w:p>
    <w:p w14:paraId="6A446D38">
      <w:pPr>
        <w:adjustRightInd w:val="0"/>
        <w:snapToGrid w:val="0"/>
        <w:spacing w:line="580" w:lineRule="exact"/>
        <w:ind w:firstLine="640" w:firstLineChars="200"/>
        <w:rPr>
          <w:rFonts w:ascii="黑体" w:hAnsi="黑体" w:eastAsia="黑体" w:cs="黑体"/>
          <w:sz w:val="32"/>
          <w:szCs w:val="32"/>
        </w:rPr>
      </w:pPr>
    </w:p>
    <w:p w14:paraId="6AB91756">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二、权利人或纠纷情况概述分析</w:t>
      </w:r>
    </w:p>
    <w:p w14:paraId="1F5F9BC2">
      <w:pPr>
        <w:adjustRightInd w:val="0"/>
        <w:snapToGrid w:val="0"/>
        <w:spacing w:line="580" w:lineRule="exact"/>
        <w:ind w:firstLine="640" w:firstLineChars="200"/>
        <w:rPr>
          <w:rFonts w:ascii="黑体" w:hAnsi="黑体" w:eastAsia="黑体" w:cs="黑体"/>
          <w:sz w:val="32"/>
          <w:szCs w:val="32"/>
        </w:rPr>
      </w:pPr>
    </w:p>
    <w:p w14:paraId="5C61AC36">
      <w:pPr>
        <w:adjustRightInd w:val="0"/>
        <w:snapToGrid w:val="0"/>
        <w:spacing w:line="580" w:lineRule="exact"/>
        <w:ind w:firstLine="640" w:firstLineChars="200"/>
        <w:rPr>
          <w:rFonts w:ascii="黑体" w:hAnsi="黑体" w:eastAsia="黑体" w:cs="黑体"/>
          <w:sz w:val="32"/>
          <w:szCs w:val="32"/>
        </w:rPr>
      </w:pPr>
    </w:p>
    <w:p w14:paraId="65894B3D">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三、指导意见</w:t>
      </w:r>
    </w:p>
    <w:p w14:paraId="28404E1A">
      <w:pPr>
        <w:adjustRightInd w:val="0"/>
        <w:snapToGrid w:val="0"/>
        <w:spacing w:line="58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（一）程序应对策略</w:t>
      </w:r>
    </w:p>
    <w:p w14:paraId="1C84E69B">
      <w:pPr>
        <w:adjustRightInd w:val="0"/>
        <w:snapToGrid w:val="0"/>
        <w:spacing w:line="580" w:lineRule="exact"/>
        <w:ind w:firstLine="640" w:firstLineChars="200"/>
        <w:rPr>
          <w:rFonts w:ascii="楷体_GB2312" w:hAnsi="黑体" w:eastAsia="楷体_GB2312" w:cs="黑体"/>
          <w:sz w:val="32"/>
          <w:szCs w:val="32"/>
        </w:rPr>
      </w:pPr>
    </w:p>
    <w:p w14:paraId="38B85D65">
      <w:pPr>
        <w:adjustRightInd w:val="0"/>
        <w:snapToGrid w:val="0"/>
        <w:spacing w:line="580" w:lineRule="exact"/>
        <w:ind w:firstLine="640" w:firstLineChars="200"/>
        <w:rPr>
          <w:rFonts w:ascii="楷体_GB2312" w:hAnsi="黑体" w:eastAsia="楷体_GB2312" w:cs="黑体"/>
          <w:sz w:val="32"/>
          <w:szCs w:val="32"/>
        </w:rPr>
      </w:pPr>
    </w:p>
    <w:p w14:paraId="06B891FE">
      <w:pPr>
        <w:adjustRightInd w:val="0"/>
        <w:snapToGrid w:val="0"/>
        <w:spacing w:line="58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（二）国内策应行动</w:t>
      </w:r>
    </w:p>
    <w:p w14:paraId="6F817276">
      <w:pPr>
        <w:adjustRightInd w:val="0"/>
        <w:snapToGrid w:val="0"/>
        <w:spacing w:line="580" w:lineRule="exact"/>
        <w:ind w:firstLine="640" w:firstLineChars="200"/>
        <w:rPr>
          <w:rFonts w:ascii="楷体_GB2312" w:hAnsi="黑体" w:eastAsia="楷体_GB2312" w:cs="黑体"/>
          <w:sz w:val="32"/>
          <w:szCs w:val="32"/>
        </w:rPr>
      </w:pPr>
    </w:p>
    <w:p w14:paraId="418712F1">
      <w:pPr>
        <w:adjustRightInd w:val="0"/>
        <w:snapToGrid w:val="0"/>
        <w:spacing w:line="580" w:lineRule="exact"/>
        <w:ind w:firstLine="640" w:firstLineChars="200"/>
        <w:rPr>
          <w:rFonts w:ascii="楷体_GB2312" w:hAnsi="黑体" w:eastAsia="楷体_GB2312" w:cs="黑体"/>
          <w:sz w:val="32"/>
          <w:szCs w:val="32"/>
        </w:rPr>
      </w:pPr>
    </w:p>
    <w:p w14:paraId="09FFAD78">
      <w:pPr>
        <w:adjustRightInd w:val="0"/>
        <w:snapToGrid w:val="0"/>
        <w:spacing w:line="58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（三）时间表预估</w:t>
      </w:r>
    </w:p>
    <w:p w14:paraId="67BFEE22">
      <w:pPr>
        <w:adjustRightInd w:val="0"/>
        <w:snapToGrid w:val="0"/>
        <w:spacing w:line="580" w:lineRule="exact"/>
        <w:ind w:firstLine="640" w:firstLineChars="200"/>
        <w:rPr>
          <w:rFonts w:ascii="楷体_GB2312" w:hAnsi="黑体" w:eastAsia="楷体_GB2312" w:cs="黑体"/>
          <w:sz w:val="32"/>
          <w:szCs w:val="32"/>
        </w:rPr>
      </w:pPr>
    </w:p>
    <w:p w14:paraId="6660AE1A">
      <w:pPr>
        <w:adjustRightInd w:val="0"/>
        <w:snapToGrid w:val="0"/>
        <w:spacing w:line="580" w:lineRule="exact"/>
        <w:ind w:firstLine="640" w:firstLineChars="200"/>
        <w:rPr>
          <w:rFonts w:ascii="楷体_GB2312" w:hAnsi="黑体" w:eastAsia="楷体_GB2312" w:cs="黑体"/>
          <w:sz w:val="32"/>
          <w:szCs w:val="32"/>
        </w:rPr>
      </w:pPr>
    </w:p>
    <w:p w14:paraId="33C87E06">
      <w:pPr>
        <w:adjustRightInd w:val="0"/>
        <w:snapToGrid w:val="0"/>
        <w:spacing w:line="58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（四）经费预估</w:t>
      </w:r>
    </w:p>
    <w:p w14:paraId="273980D0">
      <w:pPr>
        <w:adjustRightInd w:val="0"/>
        <w:snapToGrid w:val="0"/>
        <w:spacing w:line="580" w:lineRule="exact"/>
        <w:ind w:firstLine="640" w:firstLineChars="200"/>
        <w:rPr>
          <w:rFonts w:ascii="黑体" w:hAnsi="黑体" w:eastAsia="黑体" w:cs="黑体"/>
          <w:sz w:val="32"/>
          <w:szCs w:val="32"/>
        </w:rPr>
      </w:pPr>
    </w:p>
    <w:p w14:paraId="7D12AECA">
      <w:pPr>
        <w:adjustRightInd w:val="0"/>
        <w:snapToGrid w:val="0"/>
        <w:spacing w:line="580" w:lineRule="exact"/>
        <w:ind w:firstLine="640" w:firstLineChars="200"/>
        <w:rPr>
          <w:rFonts w:ascii="黑体" w:hAnsi="黑体" w:eastAsia="黑体" w:cs="黑体"/>
          <w:sz w:val="32"/>
          <w:szCs w:val="32"/>
        </w:rPr>
      </w:pPr>
    </w:p>
    <w:p w14:paraId="313E6788">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四、法律依据</w:t>
      </w:r>
    </w:p>
    <w:p w14:paraId="65D78100">
      <w:pPr>
        <w:adjustRightInd w:val="0"/>
        <w:snapToGrid w:val="0"/>
        <w:spacing w:line="580" w:lineRule="exact"/>
        <w:ind w:firstLine="640" w:firstLineChars="200"/>
        <w:rPr>
          <w:rFonts w:ascii="黑体" w:hAnsi="黑体" w:eastAsia="黑体" w:cs="黑体"/>
          <w:sz w:val="32"/>
          <w:szCs w:val="32"/>
        </w:rPr>
      </w:pPr>
    </w:p>
    <w:p w14:paraId="30EB8E34">
      <w:pPr>
        <w:adjustRightInd w:val="0"/>
        <w:snapToGrid w:val="0"/>
        <w:spacing w:line="580" w:lineRule="exact"/>
        <w:ind w:firstLine="640" w:firstLineChars="200"/>
        <w:rPr>
          <w:rFonts w:ascii="黑体" w:hAnsi="黑体" w:eastAsia="黑体" w:cs="黑体"/>
          <w:sz w:val="32"/>
          <w:szCs w:val="32"/>
        </w:rPr>
      </w:pPr>
    </w:p>
    <w:p w14:paraId="66A8602F">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五、其他</w:t>
      </w:r>
    </w:p>
    <w:p w14:paraId="7D1C3F7B">
      <w:pPr>
        <w:adjustRightInd w:val="0"/>
        <w:snapToGrid w:val="0"/>
        <w:spacing w:line="580" w:lineRule="exact"/>
        <w:ind w:firstLine="643" w:firstLineChars="200"/>
        <w:jc w:val="center"/>
        <w:rPr>
          <w:rFonts w:ascii="仿宋_GB2312" w:hAnsi="仿宋_GB2312" w:eastAsia="仿宋_GB2312" w:cs="仿宋_GB2312"/>
          <w:b/>
          <w:bCs/>
          <w:sz w:val="32"/>
          <w:szCs w:val="32"/>
        </w:rPr>
      </w:pPr>
    </w:p>
    <w:p w14:paraId="1937E20E">
      <w:pPr>
        <w:adjustRightInd w:val="0"/>
        <w:snapToGrid w:val="0"/>
        <w:spacing w:line="580" w:lineRule="exact"/>
        <w:ind w:firstLine="643" w:firstLineChars="200"/>
        <w:jc w:val="center"/>
        <w:rPr>
          <w:rFonts w:ascii="仿宋_GB2312" w:hAnsi="仿宋_GB2312" w:eastAsia="仿宋_GB2312" w:cs="仿宋_GB2312"/>
          <w:b/>
          <w:bCs/>
          <w:sz w:val="32"/>
          <w:szCs w:val="32"/>
        </w:rPr>
      </w:pPr>
    </w:p>
    <w:p w14:paraId="3D9235BD">
      <w:pPr>
        <w:adjustRightInd w:val="0"/>
        <w:snapToGrid w:val="0"/>
        <w:spacing w:line="580" w:lineRule="exact"/>
        <w:ind w:firstLine="643" w:firstLineChars="200"/>
        <w:jc w:val="center"/>
        <w:rPr>
          <w:rFonts w:ascii="仿宋_GB2312" w:hAnsi="仿宋_GB2312" w:eastAsia="仿宋_GB2312" w:cs="仿宋_GB2312"/>
          <w:b/>
          <w:bCs/>
          <w:sz w:val="32"/>
          <w:szCs w:val="32"/>
        </w:rPr>
      </w:pPr>
    </w:p>
    <w:p w14:paraId="2CD03266">
      <w:pPr>
        <w:adjustRightInd w:val="0"/>
        <w:snapToGrid w:val="0"/>
        <w:spacing w:line="580" w:lineRule="exact"/>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指导专家签名：</w:t>
      </w:r>
    </w:p>
    <w:p w14:paraId="00CDF5B6">
      <w:pPr>
        <w:adjustRightInd w:val="0"/>
        <w:snapToGrid w:val="0"/>
        <w:spacing w:line="580" w:lineRule="exact"/>
        <w:ind w:firstLine="640" w:firstLineChars="200"/>
        <w:jc w:val="center"/>
      </w:pPr>
      <w:r>
        <w:rPr>
          <w:rFonts w:hint="eastAsia" w:ascii="仿宋_GB2312" w:hAnsi="仿宋_GB2312" w:eastAsia="仿宋_GB2312" w:cs="仿宋_GB2312"/>
          <w:sz w:val="32"/>
          <w:szCs w:val="32"/>
        </w:rPr>
        <w:t xml:space="preserve">                  年  月  日</w:t>
      </w:r>
    </w:p>
    <w:p w14:paraId="07AB1534">
      <w:pPr>
        <w:adjustRightInd w:val="0"/>
        <w:snapToGrid w:val="0"/>
        <w:jc w:val="left"/>
        <w:rPr>
          <w:rFonts w:ascii="黑体" w:hAnsi="黑体" w:eastAsia="黑体" w:cs="黑体"/>
          <w:sz w:val="32"/>
          <w:szCs w:val="32"/>
        </w:rPr>
      </w:pPr>
    </w:p>
    <w:p w14:paraId="5219B3D3">
      <w:pPr>
        <w:adjustRightInd w:val="0"/>
        <w:snapToGrid w:val="0"/>
        <w:jc w:val="left"/>
        <w:rPr>
          <w:rFonts w:ascii="黑体" w:hAnsi="黑体" w:eastAsia="黑体" w:cs="黑体"/>
          <w:sz w:val="32"/>
          <w:szCs w:val="32"/>
        </w:rPr>
      </w:pPr>
    </w:p>
    <w:p w14:paraId="0509A023">
      <w:pPr>
        <w:adjustRightInd w:val="0"/>
        <w:snapToGrid w:val="0"/>
        <w:jc w:val="left"/>
        <w:rPr>
          <w:rFonts w:ascii="黑体" w:hAnsi="黑体" w:eastAsia="黑体" w:cs="黑体"/>
          <w:sz w:val="32"/>
          <w:szCs w:val="32"/>
        </w:rPr>
      </w:pPr>
    </w:p>
    <w:p w14:paraId="1A107F01">
      <w:pPr>
        <w:adjustRightInd w:val="0"/>
        <w:snapToGrid w:val="0"/>
        <w:jc w:val="left"/>
        <w:rPr>
          <w:rFonts w:ascii="黑体" w:hAnsi="黑体" w:eastAsia="黑体" w:cs="黑体"/>
          <w:sz w:val="32"/>
          <w:szCs w:val="32"/>
        </w:rPr>
      </w:pPr>
    </w:p>
    <w:p w14:paraId="60D515E9">
      <w:pPr>
        <w:adjustRightInd w:val="0"/>
        <w:snapToGrid w:val="0"/>
        <w:jc w:val="left"/>
        <w:rPr>
          <w:rFonts w:ascii="黑体" w:hAnsi="黑体" w:eastAsia="黑体" w:cs="黑体"/>
          <w:sz w:val="32"/>
          <w:szCs w:val="32"/>
        </w:rPr>
      </w:pPr>
    </w:p>
    <w:p w14:paraId="344EE8DE">
      <w:pPr>
        <w:adjustRightInd w:val="0"/>
        <w:snapToGrid w:val="0"/>
        <w:jc w:val="left"/>
        <w:rPr>
          <w:rFonts w:ascii="黑体" w:hAnsi="黑体" w:eastAsia="黑体" w:cs="黑体"/>
          <w:sz w:val="32"/>
          <w:szCs w:val="32"/>
        </w:rPr>
      </w:pPr>
    </w:p>
    <w:p w14:paraId="7604F8E4">
      <w:pPr>
        <w:adjustRightInd w:val="0"/>
        <w:snapToGrid w:val="0"/>
        <w:jc w:val="left"/>
        <w:rPr>
          <w:rFonts w:ascii="黑体" w:hAnsi="黑体" w:eastAsia="黑体" w:cs="黑体"/>
          <w:sz w:val="32"/>
          <w:szCs w:val="32"/>
        </w:rPr>
      </w:pPr>
    </w:p>
    <w:p w14:paraId="34A1FE41">
      <w:pPr>
        <w:adjustRightInd w:val="0"/>
        <w:snapToGrid w:val="0"/>
        <w:jc w:val="left"/>
        <w:rPr>
          <w:rFonts w:ascii="黑体" w:hAnsi="黑体" w:eastAsia="黑体" w:cs="黑体"/>
          <w:sz w:val="32"/>
          <w:szCs w:val="32"/>
        </w:rPr>
      </w:pPr>
    </w:p>
    <w:p w14:paraId="498BD1B7">
      <w:pPr>
        <w:adjustRightInd w:val="0"/>
        <w:snapToGrid w:val="0"/>
        <w:jc w:val="left"/>
        <w:rPr>
          <w:rFonts w:ascii="黑体" w:hAnsi="黑体" w:eastAsia="黑体" w:cs="黑体"/>
          <w:sz w:val="32"/>
          <w:szCs w:val="32"/>
        </w:rPr>
      </w:pPr>
    </w:p>
    <w:p w14:paraId="31E2EBAD">
      <w:pPr>
        <w:adjustRightInd w:val="0"/>
        <w:snapToGrid w:val="0"/>
        <w:jc w:val="left"/>
        <w:rPr>
          <w:rFonts w:ascii="黑体" w:hAnsi="黑体" w:eastAsia="黑体" w:cs="黑体"/>
          <w:sz w:val="32"/>
          <w:szCs w:val="32"/>
        </w:rPr>
      </w:pPr>
    </w:p>
    <w:p w14:paraId="3012F1C8">
      <w:pPr>
        <w:adjustRightInd w:val="0"/>
        <w:snapToGrid w:val="0"/>
        <w:jc w:val="left"/>
        <w:rPr>
          <w:rFonts w:ascii="黑体" w:hAnsi="黑体" w:eastAsia="黑体" w:cs="黑体"/>
          <w:sz w:val="32"/>
          <w:szCs w:val="32"/>
        </w:rPr>
      </w:pPr>
    </w:p>
    <w:p w14:paraId="5950DD5A">
      <w:pPr>
        <w:adjustRightInd w:val="0"/>
        <w:snapToGrid w:val="0"/>
        <w:jc w:val="left"/>
        <w:rPr>
          <w:rFonts w:ascii="黑体" w:hAnsi="黑体" w:eastAsia="黑体" w:cs="黑体"/>
          <w:sz w:val="32"/>
          <w:szCs w:val="32"/>
        </w:rPr>
      </w:pPr>
    </w:p>
    <w:p w14:paraId="3A360788">
      <w:pPr>
        <w:adjustRightInd w:val="0"/>
        <w:snapToGrid w:val="0"/>
        <w:jc w:val="left"/>
        <w:rPr>
          <w:rFonts w:ascii="黑体" w:hAnsi="黑体" w:eastAsia="黑体" w:cs="黑体"/>
          <w:sz w:val="32"/>
          <w:szCs w:val="32"/>
        </w:rPr>
      </w:pPr>
    </w:p>
    <w:p w14:paraId="401713FE">
      <w:pPr>
        <w:adjustRightInd w:val="0"/>
        <w:snapToGrid w:val="0"/>
        <w:jc w:val="left"/>
        <w:rPr>
          <w:rFonts w:ascii="黑体" w:hAnsi="黑体" w:eastAsia="黑体" w:cs="黑体"/>
          <w:sz w:val="32"/>
          <w:szCs w:val="32"/>
        </w:rPr>
      </w:pPr>
    </w:p>
    <w:p w14:paraId="706C7BBA">
      <w:pPr>
        <w:adjustRightInd w:val="0"/>
        <w:snapToGrid w:val="0"/>
        <w:jc w:val="left"/>
        <w:rPr>
          <w:rFonts w:ascii="黑体" w:hAnsi="黑体" w:eastAsia="黑体" w:cs="黑体"/>
          <w:sz w:val="32"/>
          <w:szCs w:val="32"/>
        </w:rPr>
      </w:pPr>
    </w:p>
    <w:p w14:paraId="38235AD4">
      <w:pPr>
        <w:adjustRightInd w:val="0"/>
        <w:snapToGrid w:val="0"/>
        <w:jc w:val="left"/>
        <w:rPr>
          <w:rFonts w:ascii="黑体" w:hAnsi="黑体" w:eastAsia="黑体" w:cs="黑体"/>
          <w:sz w:val="32"/>
          <w:szCs w:val="32"/>
        </w:rPr>
      </w:pPr>
    </w:p>
    <w:p w14:paraId="27F3F13C">
      <w:pPr>
        <w:adjustRightInd w:val="0"/>
        <w:snapToGrid w:val="0"/>
        <w:jc w:val="left"/>
        <w:rPr>
          <w:rFonts w:ascii="黑体" w:hAnsi="黑体" w:eastAsia="黑体" w:cs="黑体"/>
          <w:sz w:val="32"/>
          <w:szCs w:val="32"/>
        </w:rPr>
      </w:pPr>
    </w:p>
    <w:p w14:paraId="53AE9DC2">
      <w:pPr>
        <w:adjustRightInd w:val="0"/>
        <w:snapToGrid w:val="0"/>
        <w:jc w:val="left"/>
        <w:rPr>
          <w:rFonts w:ascii="黑体" w:hAnsi="黑体" w:eastAsia="黑体" w:cs="黑体"/>
          <w:sz w:val="32"/>
          <w:szCs w:val="32"/>
        </w:rPr>
      </w:pPr>
    </w:p>
    <w:p w14:paraId="09F9E66A">
      <w:pPr>
        <w:adjustRightInd w:val="0"/>
        <w:snapToGrid w:val="0"/>
        <w:jc w:val="lef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（此页无正文）</w:t>
      </w:r>
    </w:p>
    <w:p w14:paraId="1D2ADD5D">
      <w:pPr>
        <w:adjustRightInd w:val="0"/>
        <w:snapToGrid w:val="0"/>
        <w:jc w:val="left"/>
        <w:rPr>
          <w:rFonts w:ascii="黑体" w:hAnsi="黑体" w:eastAsia="黑体" w:cs="黑体"/>
          <w:sz w:val="32"/>
          <w:szCs w:val="32"/>
        </w:rPr>
      </w:pPr>
    </w:p>
    <w:p w14:paraId="3BF9CB4B">
      <w:pPr>
        <w:adjustRightInd w:val="0"/>
        <w:snapToGrid w:val="0"/>
        <w:jc w:val="left"/>
        <w:rPr>
          <w:rFonts w:ascii="黑体" w:hAnsi="黑体" w:eastAsia="黑体" w:cs="黑体"/>
          <w:sz w:val="32"/>
          <w:szCs w:val="32"/>
        </w:rPr>
      </w:pPr>
    </w:p>
    <w:p w14:paraId="7CC6F302">
      <w:pPr>
        <w:adjustRightInd w:val="0"/>
        <w:snapToGrid w:val="0"/>
        <w:jc w:val="left"/>
        <w:rPr>
          <w:rFonts w:ascii="黑体" w:hAnsi="黑体" w:eastAsia="黑体" w:cs="黑体"/>
          <w:sz w:val="32"/>
          <w:szCs w:val="32"/>
        </w:rPr>
      </w:pPr>
    </w:p>
    <w:p w14:paraId="08A2D335">
      <w:pPr>
        <w:adjustRightInd w:val="0"/>
        <w:snapToGrid w:val="0"/>
        <w:jc w:val="left"/>
        <w:rPr>
          <w:rFonts w:ascii="黑体" w:hAnsi="黑体" w:eastAsia="黑体" w:cs="黑体"/>
          <w:sz w:val="32"/>
          <w:szCs w:val="32"/>
        </w:rPr>
      </w:pPr>
    </w:p>
    <w:p w14:paraId="3C83EB5B">
      <w:pPr>
        <w:adjustRightInd w:val="0"/>
        <w:snapToGrid w:val="0"/>
        <w:jc w:val="left"/>
        <w:rPr>
          <w:rFonts w:ascii="黑体" w:hAnsi="黑体" w:eastAsia="黑体" w:cs="黑体"/>
          <w:sz w:val="32"/>
          <w:szCs w:val="32"/>
        </w:rPr>
      </w:pPr>
    </w:p>
    <w:p w14:paraId="1430710E">
      <w:pPr>
        <w:adjustRightInd w:val="0"/>
        <w:snapToGrid w:val="0"/>
        <w:jc w:val="left"/>
        <w:rPr>
          <w:rFonts w:ascii="黑体" w:hAnsi="黑体" w:eastAsia="黑体" w:cs="黑体"/>
          <w:sz w:val="32"/>
          <w:szCs w:val="32"/>
        </w:rPr>
      </w:pPr>
    </w:p>
    <w:p w14:paraId="04A990C9">
      <w:pPr>
        <w:adjustRightInd w:val="0"/>
        <w:snapToGrid w:val="0"/>
        <w:jc w:val="left"/>
        <w:rPr>
          <w:rFonts w:ascii="黑体" w:hAnsi="黑体" w:eastAsia="黑体" w:cs="黑体"/>
          <w:sz w:val="32"/>
          <w:szCs w:val="32"/>
        </w:rPr>
      </w:pPr>
    </w:p>
    <w:p w14:paraId="27C3D273">
      <w:pPr>
        <w:adjustRightInd w:val="0"/>
        <w:snapToGrid w:val="0"/>
        <w:jc w:val="left"/>
        <w:rPr>
          <w:rFonts w:ascii="黑体" w:hAnsi="黑体" w:eastAsia="黑体" w:cs="黑体"/>
          <w:sz w:val="32"/>
          <w:szCs w:val="32"/>
        </w:rPr>
      </w:pPr>
    </w:p>
    <w:p w14:paraId="3EDE7ACE">
      <w:pPr>
        <w:adjustRightInd w:val="0"/>
        <w:snapToGrid w:val="0"/>
        <w:jc w:val="left"/>
        <w:rPr>
          <w:rFonts w:ascii="黑体" w:hAnsi="黑体" w:eastAsia="黑体" w:cs="黑体"/>
          <w:sz w:val="32"/>
          <w:szCs w:val="32"/>
        </w:rPr>
      </w:pPr>
    </w:p>
    <w:p w14:paraId="25C74C53">
      <w:pPr>
        <w:adjustRightInd w:val="0"/>
        <w:snapToGrid w:val="0"/>
        <w:jc w:val="left"/>
        <w:rPr>
          <w:rFonts w:ascii="黑体" w:hAnsi="黑体" w:eastAsia="黑体" w:cs="黑体"/>
          <w:sz w:val="32"/>
          <w:szCs w:val="32"/>
        </w:rPr>
      </w:pPr>
    </w:p>
    <w:p w14:paraId="1F558BB6">
      <w:pPr>
        <w:adjustRightInd w:val="0"/>
        <w:snapToGrid w:val="0"/>
        <w:jc w:val="left"/>
        <w:rPr>
          <w:rFonts w:ascii="黑体" w:hAnsi="黑体" w:eastAsia="黑体" w:cs="黑体"/>
          <w:sz w:val="32"/>
          <w:szCs w:val="32"/>
        </w:rPr>
      </w:pPr>
    </w:p>
    <w:p w14:paraId="442A29AD">
      <w:pPr>
        <w:adjustRightInd w:val="0"/>
        <w:snapToGrid w:val="0"/>
        <w:jc w:val="left"/>
        <w:rPr>
          <w:rFonts w:ascii="黑体" w:hAnsi="黑体" w:eastAsia="黑体" w:cs="黑体"/>
          <w:sz w:val="32"/>
          <w:szCs w:val="32"/>
        </w:rPr>
      </w:pPr>
    </w:p>
    <w:p w14:paraId="0AAC9C01">
      <w:pPr>
        <w:adjustRightInd w:val="0"/>
        <w:snapToGrid w:val="0"/>
        <w:jc w:val="left"/>
        <w:rPr>
          <w:rFonts w:ascii="黑体" w:hAnsi="黑体" w:eastAsia="黑体" w:cs="黑体"/>
          <w:sz w:val="32"/>
          <w:szCs w:val="32"/>
        </w:rPr>
      </w:pPr>
    </w:p>
    <w:p w14:paraId="00291EA7">
      <w:pPr>
        <w:adjustRightInd w:val="0"/>
        <w:snapToGrid w:val="0"/>
        <w:jc w:val="left"/>
        <w:rPr>
          <w:rFonts w:ascii="黑体" w:hAnsi="黑体" w:eastAsia="黑体" w:cs="黑体"/>
          <w:sz w:val="32"/>
          <w:szCs w:val="32"/>
        </w:rPr>
      </w:pPr>
    </w:p>
    <w:p w14:paraId="55CC237E">
      <w:pPr>
        <w:adjustRightInd w:val="0"/>
        <w:snapToGrid w:val="0"/>
        <w:jc w:val="left"/>
        <w:rPr>
          <w:rFonts w:ascii="黑体" w:hAnsi="黑体" w:eastAsia="黑体" w:cs="黑体"/>
          <w:sz w:val="32"/>
          <w:szCs w:val="32"/>
        </w:rPr>
      </w:pPr>
    </w:p>
    <w:p w14:paraId="0DBF5701">
      <w:pPr>
        <w:adjustRightInd w:val="0"/>
        <w:snapToGrid w:val="0"/>
        <w:jc w:val="left"/>
        <w:rPr>
          <w:rFonts w:ascii="黑体" w:hAnsi="黑体" w:eastAsia="黑体" w:cs="黑体"/>
          <w:sz w:val="32"/>
          <w:szCs w:val="32"/>
        </w:rPr>
      </w:pPr>
    </w:p>
    <w:p w14:paraId="699D709B">
      <w:pPr>
        <w:adjustRightInd w:val="0"/>
        <w:snapToGrid w:val="0"/>
        <w:jc w:val="left"/>
        <w:rPr>
          <w:rFonts w:ascii="黑体" w:hAnsi="黑体" w:eastAsia="黑体" w:cs="黑体"/>
          <w:sz w:val="32"/>
          <w:szCs w:val="32"/>
        </w:rPr>
      </w:pPr>
    </w:p>
    <w:p w14:paraId="6AD2C84D">
      <w:pPr>
        <w:adjustRightInd w:val="0"/>
        <w:snapToGrid w:val="0"/>
        <w:jc w:val="left"/>
        <w:rPr>
          <w:rFonts w:ascii="黑体" w:hAnsi="黑体" w:eastAsia="黑体" w:cs="黑体"/>
          <w:sz w:val="32"/>
          <w:szCs w:val="32"/>
        </w:rPr>
      </w:pPr>
    </w:p>
    <w:p w14:paraId="114DF69F">
      <w:pPr>
        <w:adjustRightInd w:val="0"/>
        <w:snapToGrid w:val="0"/>
        <w:jc w:val="left"/>
        <w:rPr>
          <w:rFonts w:ascii="黑体" w:hAnsi="黑体" w:eastAsia="黑体" w:cs="黑体"/>
          <w:sz w:val="32"/>
          <w:szCs w:val="32"/>
        </w:rPr>
      </w:pPr>
    </w:p>
    <w:p w14:paraId="62E2B483">
      <w:pPr>
        <w:adjustRightInd w:val="0"/>
        <w:snapToGrid w:val="0"/>
        <w:jc w:val="left"/>
        <w:rPr>
          <w:rFonts w:ascii="黑体" w:hAnsi="黑体" w:eastAsia="黑体" w:cs="黑体"/>
          <w:sz w:val="32"/>
          <w:szCs w:val="32"/>
        </w:rPr>
      </w:pPr>
    </w:p>
    <w:p w14:paraId="606E665D">
      <w:pPr>
        <w:adjustRightInd w:val="0"/>
        <w:snapToGrid w:val="0"/>
        <w:jc w:val="left"/>
        <w:rPr>
          <w:rFonts w:ascii="黑体" w:hAnsi="黑体" w:eastAsia="黑体" w:cs="黑体"/>
          <w:sz w:val="32"/>
          <w:szCs w:val="32"/>
        </w:rPr>
      </w:pPr>
    </w:p>
    <w:p w14:paraId="38037E71">
      <w:pPr>
        <w:adjustRightInd w:val="0"/>
        <w:snapToGrid w:val="0"/>
        <w:jc w:val="left"/>
        <w:rPr>
          <w:rFonts w:ascii="黑体" w:hAnsi="黑体" w:eastAsia="黑体" w:cs="黑体"/>
          <w:sz w:val="32"/>
          <w:szCs w:val="32"/>
        </w:rPr>
      </w:pPr>
    </w:p>
    <w:p w14:paraId="7D7B3216">
      <w:pPr>
        <w:adjustRightInd w:val="0"/>
        <w:snapToGrid w:val="0"/>
        <w:jc w:val="left"/>
        <w:rPr>
          <w:rFonts w:ascii="黑体" w:hAnsi="黑体" w:eastAsia="黑体" w:cs="黑体"/>
          <w:sz w:val="32"/>
          <w:szCs w:val="32"/>
        </w:rPr>
      </w:pPr>
    </w:p>
    <w:p w14:paraId="37056E43">
      <w:pPr>
        <w:adjustRightInd w:val="0"/>
        <w:snapToGrid w:val="0"/>
        <w:jc w:val="left"/>
        <w:rPr>
          <w:rFonts w:ascii="黑体" w:hAnsi="黑体" w:eastAsia="黑体" w:cs="黑体"/>
          <w:sz w:val="32"/>
          <w:szCs w:val="32"/>
        </w:rPr>
      </w:pPr>
    </w:p>
    <w:p w14:paraId="713B43E7">
      <w:pPr>
        <w:adjustRightInd w:val="0"/>
        <w:snapToGrid w:val="0"/>
        <w:jc w:val="left"/>
        <w:rPr>
          <w:rFonts w:ascii="黑体" w:hAnsi="黑体" w:eastAsia="黑体" w:cs="黑体"/>
          <w:sz w:val="32"/>
          <w:szCs w:val="32"/>
        </w:rPr>
      </w:pPr>
    </w:p>
    <w:p w14:paraId="51698AD9">
      <w:pPr>
        <w:adjustRightInd w:val="0"/>
        <w:snapToGrid w:val="0"/>
        <w:jc w:val="left"/>
        <w:rPr>
          <w:rFonts w:ascii="黑体" w:hAnsi="黑体" w:eastAsia="黑体" w:cs="黑体"/>
          <w:sz w:val="32"/>
          <w:szCs w:val="32"/>
        </w:rPr>
      </w:pPr>
    </w:p>
    <w:p w14:paraId="3D981F75">
      <w:pPr>
        <w:adjustRightInd w:val="0"/>
        <w:snapToGrid w:val="0"/>
        <w:jc w:val="left"/>
        <w:rPr>
          <w:rFonts w:ascii="黑体" w:hAnsi="黑体" w:eastAsia="黑体" w:cs="黑体"/>
          <w:sz w:val="32"/>
          <w:szCs w:val="32"/>
        </w:rPr>
      </w:pPr>
    </w:p>
    <w:tbl>
      <w:tblPr>
        <w:tblStyle w:val="18"/>
        <w:tblpPr w:leftFromText="180" w:rightFromText="180" w:vertAnchor="text" w:horzAnchor="margin" w:tblpY="154"/>
        <w:tblW w:w="8850"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0"/>
      </w:tblGrid>
      <w:tr w14:paraId="20F87C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850" w:type="dxa"/>
            <w:noWrap/>
          </w:tcPr>
          <w:p w14:paraId="5709780B">
            <w:pPr>
              <w:spacing w:before="60" w:after="60" w:line="460" w:lineRule="exact"/>
              <w:ind w:firstLine="140" w:firstLineChars="50"/>
              <w:rPr>
                <w:rFonts w:ascii="仿宋_GB2312" w:eastAsia="仿宋_GB2312"/>
                <w:sz w:val="28"/>
                <w:szCs w:val="28"/>
              </w:rPr>
            </w:pPr>
            <w:r>
              <w:rPr>
                <w:rFonts w:hint="eastAsia" w:ascii="仿宋_GB2312" w:eastAsia="仿宋_GB2312"/>
                <w:kern w:val="0"/>
                <w:sz w:val="28"/>
                <w:szCs w:val="28"/>
              </w:rPr>
              <w:t xml:space="preserve">北京市知识产权公共服务中心综合管理部      </w:t>
            </w:r>
            <w:r>
              <w:rPr>
                <w:rFonts w:hint="eastAsia" w:ascii="仿宋_GB2312" w:eastAsia="仿宋_GB2312"/>
                <w:sz w:val="28"/>
                <w:szCs w:val="28"/>
              </w:rPr>
              <w:t xml:space="preserve">2025年8月28日印发  </w:t>
            </w:r>
          </w:p>
        </w:tc>
      </w:tr>
    </w:tbl>
    <w:p w14:paraId="070183BE">
      <w:pPr>
        <w:adjustRightInd w:val="0"/>
        <w:snapToGrid w:val="0"/>
        <w:spacing w:line="20" w:lineRule="exact"/>
        <w:rPr>
          <w:rFonts w:ascii="仿宋_GB2312" w:hAnsi="仿宋_GB2312" w:eastAsia="仿宋_GB2312" w:cs="仿宋_GB2312"/>
          <w:sz w:val="28"/>
          <w:szCs w:val="28"/>
        </w:rPr>
      </w:pPr>
    </w:p>
    <w:sectPr>
      <w:footerReference r:id="rId3" w:type="default"/>
      <w:footerReference r:id="rId4" w:type="even"/>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921197-1EB5-4C9F-9A15-02AFF09E9E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4268A95-35F2-45E8-8038-DD837C751F58}"/>
  </w:font>
  <w:font w:name="仿宋_GB2312">
    <w:panose1 w:val="02010609030101010101"/>
    <w:charset w:val="86"/>
    <w:family w:val="modern"/>
    <w:pitch w:val="default"/>
    <w:sig w:usb0="00000001" w:usb1="080E0000" w:usb2="00000000" w:usb3="00000000" w:csb0="00040000" w:csb1="00000000"/>
    <w:embedRegular r:id="rId3" w:fontKey="{2F8848E5-997E-493D-BDE0-C765C7B0D26B}"/>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0E9E131F-ABB7-4587-954A-146E0E518268}"/>
  </w:font>
  <w:font w:name="方正小标宋简体">
    <w:panose1 w:val="03000509000000000000"/>
    <w:charset w:val="86"/>
    <w:family w:val="script"/>
    <w:pitch w:val="default"/>
    <w:sig w:usb0="00000001" w:usb1="080E0000" w:usb2="00000000" w:usb3="00000000" w:csb0="00040000" w:csb1="00000000"/>
    <w:embedRegular r:id="rId5" w:fontKey="{4E224F95-CF13-4181-BF51-E3512E82C660}"/>
  </w:font>
  <w:font w:name="华文中宋">
    <w:panose1 w:val="02010600040101010101"/>
    <w:charset w:val="86"/>
    <w:family w:val="auto"/>
    <w:pitch w:val="default"/>
    <w:sig w:usb0="00000287" w:usb1="080F0000" w:usb2="00000000" w:usb3="00000000" w:csb0="0004009F" w:csb1="DFD70000"/>
    <w:embedRegular r:id="rId6" w:fontKey="{BEA2E2A9-526B-4108-89B2-1EABC00798B4}"/>
  </w:font>
  <w:font w:name="楷体">
    <w:panose1 w:val="02010609060101010101"/>
    <w:charset w:val="86"/>
    <w:family w:val="modern"/>
    <w:pitch w:val="default"/>
    <w:sig w:usb0="800002BF" w:usb1="38CF7CFA" w:usb2="00000016" w:usb3="00000000" w:csb0="00040001" w:csb1="00000000"/>
    <w:embedRegular r:id="rId7" w:fontKey="{A2192820-46A7-43B5-A508-AA330541AC48}"/>
  </w:font>
  <w:font w:name="Cambria">
    <w:panose1 w:val="02040503050406030204"/>
    <w:charset w:val="00"/>
    <w:family w:val="roman"/>
    <w:pitch w:val="default"/>
    <w:sig w:usb0="E00006FF" w:usb1="420024FF" w:usb2="02000000" w:usb3="00000000" w:csb0="2000019F" w:csb1="00000000"/>
    <w:embedRegular r:id="rId8" w:fontKey="{180EA19D-8045-4FE7-9C3A-ADDE5EA570E9}"/>
  </w:font>
  <w:font w:name="Wingdings 2">
    <w:panose1 w:val="05020102010507070707"/>
    <w:charset w:val="02"/>
    <w:family w:val="roman"/>
    <w:pitch w:val="default"/>
    <w:sig w:usb0="00000000" w:usb1="00000000" w:usb2="00000000" w:usb3="00000000" w:csb0="80000000" w:csb1="00000000"/>
    <w:embedRegular r:id="rId9" w:fontKey="{F17DE97E-E14C-49AD-89AC-28DE32E75551}"/>
  </w:font>
  <w:font w:name="楷体_GB2312">
    <w:panose1 w:val="02010609030101010101"/>
    <w:charset w:val="86"/>
    <w:family w:val="modern"/>
    <w:pitch w:val="default"/>
    <w:sig w:usb0="00000001" w:usb1="080E0000" w:usb2="00000000" w:usb3="00000000" w:csb0="00040000" w:csb1="00000000"/>
    <w:embedRegular r:id="rId10" w:fontKey="{EBC40988-8A0D-4F5C-90E4-8A68A9BD635F}"/>
  </w:font>
  <w:font w:name="方正仿宋_GB2312">
    <w:altName w:val="仿宋"/>
    <w:panose1 w:val="00000000000000000000"/>
    <w:charset w:val="86"/>
    <w:family w:val="auto"/>
    <w:pitch w:val="default"/>
    <w:sig w:usb0="00000000" w:usb1="00000000" w:usb2="00000012" w:usb3="00000000" w:csb0="00040001" w:csb1="00000000"/>
    <w:embedRegular r:id="rId11" w:fontKey="{7C333D2E-29D3-415A-ACAC-7AB4ACFAA3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0CE5">
    <w:pPr>
      <w:pStyle w:val="11"/>
      <w:jc w:val="right"/>
      <w:rPr>
        <w:rFonts w:ascii="宋体" w:hAnsi="宋体"/>
        <w:sz w:val="28"/>
        <w:szCs w:val="28"/>
      </w:rPr>
    </w:pPr>
    <w:r>
      <w:rPr>
        <w:sz w:val="28"/>
      </w:rPr>
      <w:pict>
        <v:shape id="文本框 1027"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4MgekBAADKAwAADgAAAGRycy9lMm9Eb2MueG1srVPNjtMwEL4j8Q7W&#10;3GnSi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mX1MinUu1Bj4K3D0Di8sQPuzXwf8DIRH1qv0x8pEfSjvqeLvmKIhKekVbValeji6JsPiF/cpzsf&#10;4jthNUkGBY8DzLqy44cQx9A5JFUz9kYqlYeoDOkpvLqqrnLCxYPgymCNRGJsNllx2A0Ts51tTkgM&#10;nwQW7Kz/BqTHhaBgcP+BqPcG9U67Mxt+NnazwQzHRAoRyGi+jeOOHZyX+y5vXWo3uNeHiC1nJqmN&#10;sfbUHY44azGtY9qhv8856v4Jb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AguDIHpAQAA&#10;ygMAAA4AAAAAAAAAAQAgAAAAHgEAAGRycy9lMm9Eb2MueG1sUEsFBgAAAAAGAAYAWQEAAHkFAAAA&#10;AA==&#10;">
          <v:path/>
          <v:fill on="f" focussize="0,0"/>
          <v:stroke on="f" joinstyle="miter"/>
          <v:imagedata o:title=""/>
          <o:lock v:ext="edit"/>
          <v:textbox inset="0mm,0mm,0mm,0mm" style="mso-fit-shape-to-text:t;">
            <w:txbxContent>
              <w:p w14:paraId="6E754C3E">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18072"/>
    </w:sdtPr>
    <w:sdtEndPr>
      <w:rPr>
        <w:rFonts w:ascii="宋体" w:hAnsi="宋体"/>
        <w:sz w:val="28"/>
        <w:szCs w:val="28"/>
      </w:rPr>
    </w:sdtEndPr>
    <w:sdtContent>
      <w:p w14:paraId="7C8F9EAA">
        <w:pPr>
          <w:pStyle w:val="11"/>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EzYmMxNDk2MDY5N2Q1OTYyZDhmMDZkZDAzZmI1YzcifQ=="/>
  </w:docVars>
  <w:rsids>
    <w:rsidRoot w:val="00567B4A"/>
    <w:rsid w:val="0000114D"/>
    <w:rsid w:val="000015F0"/>
    <w:rsid w:val="000027B6"/>
    <w:rsid w:val="0000349B"/>
    <w:rsid w:val="0000493A"/>
    <w:rsid w:val="00007E67"/>
    <w:rsid w:val="00013807"/>
    <w:rsid w:val="00013F9A"/>
    <w:rsid w:val="000148B5"/>
    <w:rsid w:val="00017AE2"/>
    <w:rsid w:val="000208CE"/>
    <w:rsid w:val="00021E8F"/>
    <w:rsid w:val="000233C3"/>
    <w:rsid w:val="00023B91"/>
    <w:rsid w:val="00025DD6"/>
    <w:rsid w:val="00030879"/>
    <w:rsid w:val="000324F7"/>
    <w:rsid w:val="000325CA"/>
    <w:rsid w:val="00033468"/>
    <w:rsid w:val="00040275"/>
    <w:rsid w:val="00042E97"/>
    <w:rsid w:val="00043CE7"/>
    <w:rsid w:val="00043FB0"/>
    <w:rsid w:val="0004607C"/>
    <w:rsid w:val="000471DC"/>
    <w:rsid w:val="0004739F"/>
    <w:rsid w:val="00050927"/>
    <w:rsid w:val="0005101E"/>
    <w:rsid w:val="00052815"/>
    <w:rsid w:val="00052888"/>
    <w:rsid w:val="00052FFB"/>
    <w:rsid w:val="00054F35"/>
    <w:rsid w:val="000678D3"/>
    <w:rsid w:val="0007253E"/>
    <w:rsid w:val="00075171"/>
    <w:rsid w:val="00076728"/>
    <w:rsid w:val="00081798"/>
    <w:rsid w:val="00082065"/>
    <w:rsid w:val="00084E92"/>
    <w:rsid w:val="000874F0"/>
    <w:rsid w:val="0009312C"/>
    <w:rsid w:val="00093F68"/>
    <w:rsid w:val="000A0087"/>
    <w:rsid w:val="000A033C"/>
    <w:rsid w:val="000A1A3E"/>
    <w:rsid w:val="000A1C5F"/>
    <w:rsid w:val="000A60BC"/>
    <w:rsid w:val="000A6A5D"/>
    <w:rsid w:val="000A6B7C"/>
    <w:rsid w:val="000A753C"/>
    <w:rsid w:val="000B4726"/>
    <w:rsid w:val="000B5E36"/>
    <w:rsid w:val="000B6674"/>
    <w:rsid w:val="000C45AF"/>
    <w:rsid w:val="000D374D"/>
    <w:rsid w:val="000D6F9F"/>
    <w:rsid w:val="000D7375"/>
    <w:rsid w:val="000E4324"/>
    <w:rsid w:val="000E44C9"/>
    <w:rsid w:val="000F57D3"/>
    <w:rsid w:val="00100BD5"/>
    <w:rsid w:val="00103562"/>
    <w:rsid w:val="001054F0"/>
    <w:rsid w:val="00107FA8"/>
    <w:rsid w:val="00112A6E"/>
    <w:rsid w:val="00115D1F"/>
    <w:rsid w:val="00117E4D"/>
    <w:rsid w:val="001209FE"/>
    <w:rsid w:val="00123B02"/>
    <w:rsid w:val="001332A1"/>
    <w:rsid w:val="00133572"/>
    <w:rsid w:val="00135E7C"/>
    <w:rsid w:val="00135E88"/>
    <w:rsid w:val="0014027F"/>
    <w:rsid w:val="001454ED"/>
    <w:rsid w:val="00154F92"/>
    <w:rsid w:val="0016378B"/>
    <w:rsid w:val="0016750C"/>
    <w:rsid w:val="00170E60"/>
    <w:rsid w:val="00172E49"/>
    <w:rsid w:val="00174B4E"/>
    <w:rsid w:val="00175EC0"/>
    <w:rsid w:val="0017781F"/>
    <w:rsid w:val="001848D6"/>
    <w:rsid w:val="00184C4E"/>
    <w:rsid w:val="001869B4"/>
    <w:rsid w:val="00186C0E"/>
    <w:rsid w:val="00190DC2"/>
    <w:rsid w:val="00191036"/>
    <w:rsid w:val="0019114E"/>
    <w:rsid w:val="001976CD"/>
    <w:rsid w:val="001A04B5"/>
    <w:rsid w:val="001A2CFF"/>
    <w:rsid w:val="001A3D07"/>
    <w:rsid w:val="001A6452"/>
    <w:rsid w:val="001A738F"/>
    <w:rsid w:val="001B09E7"/>
    <w:rsid w:val="001B0C70"/>
    <w:rsid w:val="001B2064"/>
    <w:rsid w:val="001B49A9"/>
    <w:rsid w:val="001C27FF"/>
    <w:rsid w:val="001C38C7"/>
    <w:rsid w:val="001D0CCE"/>
    <w:rsid w:val="001D1033"/>
    <w:rsid w:val="001D3670"/>
    <w:rsid w:val="001D7D12"/>
    <w:rsid w:val="001D7D47"/>
    <w:rsid w:val="001E108E"/>
    <w:rsid w:val="001E1D1C"/>
    <w:rsid w:val="001E2061"/>
    <w:rsid w:val="001E4CE5"/>
    <w:rsid w:val="001E5F67"/>
    <w:rsid w:val="001E6C93"/>
    <w:rsid w:val="001F02E2"/>
    <w:rsid w:val="001F0619"/>
    <w:rsid w:val="001F0BD6"/>
    <w:rsid w:val="001F6D94"/>
    <w:rsid w:val="00202DF2"/>
    <w:rsid w:val="00210060"/>
    <w:rsid w:val="00216929"/>
    <w:rsid w:val="00217A81"/>
    <w:rsid w:val="0022057D"/>
    <w:rsid w:val="002211A4"/>
    <w:rsid w:val="00222952"/>
    <w:rsid w:val="0022450A"/>
    <w:rsid w:val="0022593C"/>
    <w:rsid w:val="002264D9"/>
    <w:rsid w:val="002267CF"/>
    <w:rsid w:val="002276F7"/>
    <w:rsid w:val="00230922"/>
    <w:rsid w:val="00233F51"/>
    <w:rsid w:val="00235D96"/>
    <w:rsid w:val="00241459"/>
    <w:rsid w:val="00242F41"/>
    <w:rsid w:val="00243192"/>
    <w:rsid w:val="00243D7F"/>
    <w:rsid w:val="00246B97"/>
    <w:rsid w:val="00250BDA"/>
    <w:rsid w:val="00256850"/>
    <w:rsid w:val="00256E3F"/>
    <w:rsid w:val="00260621"/>
    <w:rsid w:val="002652E9"/>
    <w:rsid w:val="002664DB"/>
    <w:rsid w:val="002717F7"/>
    <w:rsid w:val="00271B47"/>
    <w:rsid w:val="00273526"/>
    <w:rsid w:val="00274113"/>
    <w:rsid w:val="00277A3E"/>
    <w:rsid w:val="002816F6"/>
    <w:rsid w:val="002913D9"/>
    <w:rsid w:val="00291F5E"/>
    <w:rsid w:val="00293901"/>
    <w:rsid w:val="00293FF3"/>
    <w:rsid w:val="002948D1"/>
    <w:rsid w:val="002A2272"/>
    <w:rsid w:val="002A2D4D"/>
    <w:rsid w:val="002A4D0B"/>
    <w:rsid w:val="002B0994"/>
    <w:rsid w:val="002B0A38"/>
    <w:rsid w:val="002B269B"/>
    <w:rsid w:val="002B3CEA"/>
    <w:rsid w:val="002B5DDC"/>
    <w:rsid w:val="002B6D70"/>
    <w:rsid w:val="002B7064"/>
    <w:rsid w:val="002C08F1"/>
    <w:rsid w:val="002C1BCF"/>
    <w:rsid w:val="002C363D"/>
    <w:rsid w:val="002C3B0E"/>
    <w:rsid w:val="002D3D73"/>
    <w:rsid w:val="002E029E"/>
    <w:rsid w:val="002E1885"/>
    <w:rsid w:val="002E5A3A"/>
    <w:rsid w:val="002E7FB9"/>
    <w:rsid w:val="002F0959"/>
    <w:rsid w:val="002F38A6"/>
    <w:rsid w:val="002F3ECA"/>
    <w:rsid w:val="002F4124"/>
    <w:rsid w:val="002F6057"/>
    <w:rsid w:val="002F631D"/>
    <w:rsid w:val="00300A26"/>
    <w:rsid w:val="003022FC"/>
    <w:rsid w:val="00302DE5"/>
    <w:rsid w:val="0030777C"/>
    <w:rsid w:val="00311A96"/>
    <w:rsid w:val="00316F42"/>
    <w:rsid w:val="003208D7"/>
    <w:rsid w:val="00320D8C"/>
    <w:rsid w:val="003220A9"/>
    <w:rsid w:val="00326BA8"/>
    <w:rsid w:val="0033013D"/>
    <w:rsid w:val="00330A23"/>
    <w:rsid w:val="00332F9C"/>
    <w:rsid w:val="0033344F"/>
    <w:rsid w:val="00335594"/>
    <w:rsid w:val="003359B0"/>
    <w:rsid w:val="00340D38"/>
    <w:rsid w:val="00353A3A"/>
    <w:rsid w:val="003549B3"/>
    <w:rsid w:val="00354A87"/>
    <w:rsid w:val="0035563E"/>
    <w:rsid w:val="0036194C"/>
    <w:rsid w:val="00362553"/>
    <w:rsid w:val="003640E0"/>
    <w:rsid w:val="00364DF9"/>
    <w:rsid w:val="00371319"/>
    <w:rsid w:val="00376FA1"/>
    <w:rsid w:val="00377DFF"/>
    <w:rsid w:val="00380494"/>
    <w:rsid w:val="00380885"/>
    <w:rsid w:val="00381196"/>
    <w:rsid w:val="00381C12"/>
    <w:rsid w:val="00382DBD"/>
    <w:rsid w:val="00384EE5"/>
    <w:rsid w:val="00384FC7"/>
    <w:rsid w:val="00385B42"/>
    <w:rsid w:val="00392026"/>
    <w:rsid w:val="003920DB"/>
    <w:rsid w:val="00395F13"/>
    <w:rsid w:val="00397504"/>
    <w:rsid w:val="003A0D74"/>
    <w:rsid w:val="003A2044"/>
    <w:rsid w:val="003A3646"/>
    <w:rsid w:val="003A4DE6"/>
    <w:rsid w:val="003A5437"/>
    <w:rsid w:val="003B2CA7"/>
    <w:rsid w:val="003B4B50"/>
    <w:rsid w:val="003B523F"/>
    <w:rsid w:val="003B6173"/>
    <w:rsid w:val="003C17F3"/>
    <w:rsid w:val="003C1ADC"/>
    <w:rsid w:val="003C34B8"/>
    <w:rsid w:val="003C3691"/>
    <w:rsid w:val="003C4F29"/>
    <w:rsid w:val="003C6DAD"/>
    <w:rsid w:val="003C76FB"/>
    <w:rsid w:val="003D0C3C"/>
    <w:rsid w:val="003E25E6"/>
    <w:rsid w:val="003E308E"/>
    <w:rsid w:val="003E5A6C"/>
    <w:rsid w:val="003F2A4D"/>
    <w:rsid w:val="003F3C87"/>
    <w:rsid w:val="003F5051"/>
    <w:rsid w:val="003F68BB"/>
    <w:rsid w:val="003F73C6"/>
    <w:rsid w:val="00400E1E"/>
    <w:rsid w:val="00400F0B"/>
    <w:rsid w:val="004023FC"/>
    <w:rsid w:val="0040242B"/>
    <w:rsid w:val="00405FB2"/>
    <w:rsid w:val="004067C7"/>
    <w:rsid w:val="00406D0D"/>
    <w:rsid w:val="00411430"/>
    <w:rsid w:val="004132F5"/>
    <w:rsid w:val="00413C6D"/>
    <w:rsid w:val="00414BC5"/>
    <w:rsid w:val="0041559C"/>
    <w:rsid w:val="00420394"/>
    <w:rsid w:val="00422CE6"/>
    <w:rsid w:val="004236BA"/>
    <w:rsid w:val="00423F5C"/>
    <w:rsid w:val="00425A7D"/>
    <w:rsid w:val="00425A97"/>
    <w:rsid w:val="00426B9D"/>
    <w:rsid w:val="00433C9B"/>
    <w:rsid w:val="00434928"/>
    <w:rsid w:val="00440026"/>
    <w:rsid w:val="004420BF"/>
    <w:rsid w:val="00442A92"/>
    <w:rsid w:val="004516A5"/>
    <w:rsid w:val="00451C24"/>
    <w:rsid w:val="004530A8"/>
    <w:rsid w:val="00453E1C"/>
    <w:rsid w:val="00454909"/>
    <w:rsid w:val="0045541A"/>
    <w:rsid w:val="004558CD"/>
    <w:rsid w:val="004566BD"/>
    <w:rsid w:val="00457D61"/>
    <w:rsid w:val="00461DC9"/>
    <w:rsid w:val="00464A68"/>
    <w:rsid w:val="004664C6"/>
    <w:rsid w:val="00466D8A"/>
    <w:rsid w:val="00467A42"/>
    <w:rsid w:val="0047002B"/>
    <w:rsid w:val="00470BBE"/>
    <w:rsid w:val="004762A9"/>
    <w:rsid w:val="00477EA9"/>
    <w:rsid w:val="00480306"/>
    <w:rsid w:val="00480C33"/>
    <w:rsid w:val="004949BE"/>
    <w:rsid w:val="004A060C"/>
    <w:rsid w:val="004A1600"/>
    <w:rsid w:val="004A1C5F"/>
    <w:rsid w:val="004A4FAA"/>
    <w:rsid w:val="004A6D8A"/>
    <w:rsid w:val="004B060C"/>
    <w:rsid w:val="004B1C27"/>
    <w:rsid w:val="004B3B1E"/>
    <w:rsid w:val="004B4843"/>
    <w:rsid w:val="004B7E1E"/>
    <w:rsid w:val="004C468D"/>
    <w:rsid w:val="004C52B8"/>
    <w:rsid w:val="004D379D"/>
    <w:rsid w:val="004D7076"/>
    <w:rsid w:val="004E1FE2"/>
    <w:rsid w:val="004E272F"/>
    <w:rsid w:val="004E2EE8"/>
    <w:rsid w:val="004F188B"/>
    <w:rsid w:val="004F28B3"/>
    <w:rsid w:val="004F5B4D"/>
    <w:rsid w:val="00501462"/>
    <w:rsid w:val="00512C58"/>
    <w:rsid w:val="00513630"/>
    <w:rsid w:val="005142E2"/>
    <w:rsid w:val="00520240"/>
    <w:rsid w:val="0052078C"/>
    <w:rsid w:val="00527316"/>
    <w:rsid w:val="005316F6"/>
    <w:rsid w:val="00532EAF"/>
    <w:rsid w:val="00533731"/>
    <w:rsid w:val="00535A40"/>
    <w:rsid w:val="0053722E"/>
    <w:rsid w:val="00541229"/>
    <w:rsid w:val="005475A2"/>
    <w:rsid w:val="00547F03"/>
    <w:rsid w:val="00550EDB"/>
    <w:rsid w:val="00551049"/>
    <w:rsid w:val="00551A73"/>
    <w:rsid w:val="00552BA5"/>
    <w:rsid w:val="005534DB"/>
    <w:rsid w:val="00553F36"/>
    <w:rsid w:val="00554FB2"/>
    <w:rsid w:val="005566DE"/>
    <w:rsid w:val="005571EF"/>
    <w:rsid w:val="0056007B"/>
    <w:rsid w:val="005621F8"/>
    <w:rsid w:val="00563D6C"/>
    <w:rsid w:val="00565DB3"/>
    <w:rsid w:val="00567B4A"/>
    <w:rsid w:val="00570B09"/>
    <w:rsid w:val="00571611"/>
    <w:rsid w:val="00571AB3"/>
    <w:rsid w:val="005724A4"/>
    <w:rsid w:val="00573994"/>
    <w:rsid w:val="00573C55"/>
    <w:rsid w:val="00575659"/>
    <w:rsid w:val="00576402"/>
    <w:rsid w:val="00576A21"/>
    <w:rsid w:val="00582066"/>
    <w:rsid w:val="00582077"/>
    <w:rsid w:val="0058347E"/>
    <w:rsid w:val="0058498E"/>
    <w:rsid w:val="00585D03"/>
    <w:rsid w:val="00585EA9"/>
    <w:rsid w:val="00586D68"/>
    <w:rsid w:val="005923F0"/>
    <w:rsid w:val="005931A8"/>
    <w:rsid w:val="00593A20"/>
    <w:rsid w:val="005948C3"/>
    <w:rsid w:val="00596D60"/>
    <w:rsid w:val="005A3F42"/>
    <w:rsid w:val="005A7AC5"/>
    <w:rsid w:val="005A7B9C"/>
    <w:rsid w:val="005B1620"/>
    <w:rsid w:val="005B3357"/>
    <w:rsid w:val="005B58CA"/>
    <w:rsid w:val="005B6701"/>
    <w:rsid w:val="005C1940"/>
    <w:rsid w:val="005C2D7A"/>
    <w:rsid w:val="005C4DA4"/>
    <w:rsid w:val="005C6112"/>
    <w:rsid w:val="005C6309"/>
    <w:rsid w:val="005C7409"/>
    <w:rsid w:val="005C79FA"/>
    <w:rsid w:val="005D3FEF"/>
    <w:rsid w:val="005D419A"/>
    <w:rsid w:val="005D48A8"/>
    <w:rsid w:val="005D6B65"/>
    <w:rsid w:val="005D7937"/>
    <w:rsid w:val="005E1892"/>
    <w:rsid w:val="005E2C00"/>
    <w:rsid w:val="005E44D7"/>
    <w:rsid w:val="005E6607"/>
    <w:rsid w:val="005E7F69"/>
    <w:rsid w:val="005F270B"/>
    <w:rsid w:val="005F41CD"/>
    <w:rsid w:val="005F65ED"/>
    <w:rsid w:val="00600F07"/>
    <w:rsid w:val="00603953"/>
    <w:rsid w:val="00605432"/>
    <w:rsid w:val="006100EF"/>
    <w:rsid w:val="00612B9C"/>
    <w:rsid w:val="006150F5"/>
    <w:rsid w:val="00615B03"/>
    <w:rsid w:val="006275C5"/>
    <w:rsid w:val="00627D86"/>
    <w:rsid w:val="0063167E"/>
    <w:rsid w:val="00633F07"/>
    <w:rsid w:val="00635652"/>
    <w:rsid w:val="006362C3"/>
    <w:rsid w:val="00640948"/>
    <w:rsid w:val="00643358"/>
    <w:rsid w:val="006437D3"/>
    <w:rsid w:val="006446BD"/>
    <w:rsid w:val="00646B25"/>
    <w:rsid w:val="0065562C"/>
    <w:rsid w:val="00655FC2"/>
    <w:rsid w:val="006568D8"/>
    <w:rsid w:val="00656A65"/>
    <w:rsid w:val="00660CC9"/>
    <w:rsid w:val="00660CE1"/>
    <w:rsid w:val="0066151D"/>
    <w:rsid w:val="0066314F"/>
    <w:rsid w:val="0066449D"/>
    <w:rsid w:val="006650AC"/>
    <w:rsid w:val="006708DA"/>
    <w:rsid w:val="00673834"/>
    <w:rsid w:val="00676157"/>
    <w:rsid w:val="0067627A"/>
    <w:rsid w:val="00680528"/>
    <w:rsid w:val="00681FDB"/>
    <w:rsid w:val="00686D4E"/>
    <w:rsid w:val="00692A10"/>
    <w:rsid w:val="006950FF"/>
    <w:rsid w:val="006A0489"/>
    <w:rsid w:val="006A129C"/>
    <w:rsid w:val="006A1A33"/>
    <w:rsid w:val="006A3486"/>
    <w:rsid w:val="006A5E53"/>
    <w:rsid w:val="006A6AD6"/>
    <w:rsid w:val="006B18E2"/>
    <w:rsid w:val="006B20AC"/>
    <w:rsid w:val="006B3E2C"/>
    <w:rsid w:val="006B6364"/>
    <w:rsid w:val="006C099F"/>
    <w:rsid w:val="006C0E13"/>
    <w:rsid w:val="006C3254"/>
    <w:rsid w:val="006C45F0"/>
    <w:rsid w:val="006C5BFB"/>
    <w:rsid w:val="006C7300"/>
    <w:rsid w:val="006C74D3"/>
    <w:rsid w:val="006C7780"/>
    <w:rsid w:val="006D0DA8"/>
    <w:rsid w:val="006D67D1"/>
    <w:rsid w:val="006D6C29"/>
    <w:rsid w:val="006E0A2F"/>
    <w:rsid w:val="006E23E7"/>
    <w:rsid w:val="006E3AEF"/>
    <w:rsid w:val="006E4307"/>
    <w:rsid w:val="006F392D"/>
    <w:rsid w:val="006F3CC8"/>
    <w:rsid w:val="006F4486"/>
    <w:rsid w:val="006F5137"/>
    <w:rsid w:val="006F56C7"/>
    <w:rsid w:val="006F6A3A"/>
    <w:rsid w:val="006F70AC"/>
    <w:rsid w:val="00700EED"/>
    <w:rsid w:val="0070106D"/>
    <w:rsid w:val="00704AA8"/>
    <w:rsid w:val="00705739"/>
    <w:rsid w:val="0070672C"/>
    <w:rsid w:val="007111BC"/>
    <w:rsid w:val="00711201"/>
    <w:rsid w:val="00713112"/>
    <w:rsid w:val="00714D0A"/>
    <w:rsid w:val="00714FE7"/>
    <w:rsid w:val="00716C67"/>
    <w:rsid w:val="007208E6"/>
    <w:rsid w:val="00722B5E"/>
    <w:rsid w:val="00724230"/>
    <w:rsid w:val="0073249E"/>
    <w:rsid w:val="00733326"/>
    <w:rsid w:val="00733C9C"/>
    <w:rsid w:val="00735CAA"/>
    <w:rsid w:val="00745C85"/>
    <w:rsid w:val="00745CE3"/>
    <w:rsid w:val="0074607D"/>
    <w:rsid w:val="007462BB"/>
    <w:rsid w:val="00750E02"/>
    <w:rsid w:val="00753377"/>
    <w:rsid w:val="00754470"/>
    <w:rsid w:val="00755A6A"/>
    <w:rsid w:val="007572E3"/>
    <w:rsid w:val="00760B3A"/>
    <w:rsid w:val="007643FD"/>
    <w:rsid w:val="00764F85"/>
    <w:rsid w:val="00774A87"/>
    <w:rsid w:val="0077738B"/>
    <w:rsid w:val="007810A7"/>
    <w:rsid w:val="007818BD"/>
    <w:rsid w:val="00782CF7"/>
    <w:rsid w:val="007846DD"/>
    <w:rsid w:val="00791744"/>
    <w:rsid w:val="007945B4"/>
    <w:rsid w:val="007962B7"/>
    <w:rsid w:val="00796FEF"/>
    <w:rsid w:val="007A0FF9"/>
    <w:rsid w:val="007A6242"/>
    <w:rsid w:val="007B5469"/>
    <w:rsid w:val="007B5B3A"/>
    <w:rsid w:val="007B64E2"/>
    <w:rsid w:val="007C0F60"/>
    <w:rsid w:val="007C1025"/>
    <w:rsid w:val="007C3EA2"/>
    <w:rsid w:val="007C7F4E"/>
    <w:rsid w:val="007D42DF"/>
    <w:rsid w:val="007D4E2D"/>
    <w:rsid w:val="007D503F"/>
    <w:rsid w:val="007D6908"/>
    <w:rsid w:val="007D7FCA"/>
    <w:rsid w:val="007E2CA8"/>
    <w:rsid w:val="007E2E22"/>
    <w:rsid w:val="007E409F"/>
    <w:rsid w:val="007E6679"/>
    <w:rsid w:val="007F3D14"/>
    <w:rsid w:val="007F4C39"/>
    <w:rsid w:val="007F74AF"/>
    <w:rsid w:val="00801965"/>
    <w:rsid w:val="008063CD"/>
    <w:rsid w:val="00806A2B"/>
    <w:rsid w:val="00811129"/>
    <w:rsid w:val="0081173A"/>
    <w:rsid w:val="00811979"/>
    <w:rsid w:val="00812699"/>
    <w:rsid w:val="00813F8B"/>
    <w:rsid w:val="00815715"/>
    <w:rsid w:val="00815A26"/>
    <w:rsid w:val="0081659F"/>
    <w:rsid w:val="00821053"/>
    <w:rsid w:val="00821EF5"/>
    <w:rsid w:val="008244CA"/>
    <w:rsid w:val="0082740F"/>
    <w:rsid w:val="00833D96"/>
    <w:rsid w:val="00836C2A"/>
    <w:rsid w:val="00837A3D"/>
    <w:rsid w:val="008417FD"/>
    <w:rsid w:val="00841B48"/>
    <w:rsid w:val="008422E4"/>
    <w:rsid w:val="00842306"/>
    <w:rsid w:val="0084286B"/>
    <w:rsid w:val="008448E8"/>
    <w:rsid w:val="00845876"/>
    <w:rsid w:val="008461BC"/>
    <w:rsid w:val="00853053"/>
    <w:rsid w:val="00857603"/>
    <w:rsid w:val="00862744"/>
    <w:rsid w:val="00862BCD"/>
    <w:rsid w:val="008650B4"/>
    <w:rsid w:val="00866BF6"/>
    <w:rsid w:val="008677C2"/>
    <w:rsid w:val="00870303"/>
    <w:rsid w:val="00871718"/>
    <w:rsid w:val="00883A7E"/>
    <w:rsid w:val="0088443C"/>
    <w:rsid w:val="0088635F"/>
    <w:rsid w:val="008919CF"/>
    <w:rsid w:val="008942C4"/>
    <w:rsid w:val="00897479"/>
    <w:rsid w:val="008974FA"/>
    <w:rsid w:val="008A3FE6"/>
    <w:rsid w:val="008A48ED"/>
    <w:rsid w:val="008A55F9"/>
    <w:rsid w:val="008A567C"/>
    <w:rsid w:val="008A6080"/>
    <w:rsid w:val="008B0D47"/>
    <w:rsid w:val="008B37DE"/>
    <w:rsid w:val="008B506B"/>
    <w:rsid w:val="008C0365"/>
    <w:rsid w:val="008C099D"/>
    <w:rsid w:val="008C222E"/>
    <w:rsid w:val="008C2B07"/>
    <w:rsid w:val="008C41AC"/>
    <w:rsid w:val="008C4451"/>
    <w:rsid w:val="008C4CC3"/>
    <w:rsid w:val="008C4DAB"/>
    <w:rsid w:val="008C61FC"/>
    <w:rsid w:val="008D0C6D"/>
    <w:rsid w:val="008D1414"/>
    <w:rsid w:val="008D4189"/>
    <w:rsid w:val="008D4236"/>
    <w:rsid w:val="008D4DF0"/>
    <w:rsid w:val="008D4F9F"/>
    <w:rsid w:val="008E5E4A"/>
    <w:rsid w:val="008E62BB"/>
    <w:rsid w:val="008F07AD"/>
    <w:rsid w:val="008F1723"/>
    <w:rsid w:val="008F2C3E"/>
    <w:rsid w:val="008F4D27"/>
    <w:rsid w:val="008F5902"/>
    <w:rsid w:val="0090394B"/>
    <w:rsid w:val="009049A5"/>
    <w:rsid w:val="00906DC0"/>
    <w:rsid w:val="00910D84"/>
    <w:rsid w:val="0091131B"/>
    <w:rsid w:val="00911A1F"/>
    <w:rsid w:val="0091397A"/>
    <w:rsid w:val="00914488"/>
    <w:rsid w:val="00915715"/>
    <w:rsid w:val="009329F6"/>
    <w:rsid w:val="00934BD8"/>
    <w:rsid w:val="00935DCB"/>
    <w:rsid w:val="00936D27"/>
    <w:rsid w:val="00942107"/>
    <w:rsid w:val="00942AC7"/>
    <w:rsid w:val="00943C95"/>
    <w:rsid w:val="00947232"/>
    <w:rsid w:val="00951323"/>
    <w:rsid w:val="00952425"/>
    <w:rsid w:val="009574A6"/>
    <w:rsid w:val="00970D40"/>
    <w:rsid w:val="009717C8"/>
    <w:rsid w:val="00972499"/>
    <w:rsid w:val="00972ADA"/>
    <w:rsid w:val="00975749"/>
    <w:rsid w:val="0097591D"/>
    <w:rsid w:val="00976878"/>
    <w:rsid w:val="00977A11"/>
    <w:rsid w:val="00980F55"/>
    <w:rsid w:val="00983742"/>
    <w:rsid w:val="00983B41"/>
    <w:rsid w:val="009841CC"/>
    <w:rsid w:val="009921F8"/>
    <w:rsid w:val="00993544"/>
    <w:rsid w:val="0099403A"/>
    <w:rsid w:val="009951E4"/>
    <w:rsid w:val="0099537C"/>
    <w:rsid w:val="00996A2C"/>
    <w:rsid w:val="009A502A"/>
    <w:rsid w:val="009A7245"/>
    <w:rsid w:val="009A76A0"/>
    <w:rsid w:val="009B16C6"/>
    <w:rsid w:val="009C16AB"/>
    <w:rsid w:val="009C2860"/>
    <w:rsid w:val="009D0155"/>
    <w:rsid w:val="009D02E9"/>
    <w:rsid w:val="009D3AC2"/>
    <w:rsid w:val="009D40A1"/>
    <w:rsid w:val="009D5309"/>
    <w:rsid w:val="009D73B6"/>
    <w:rsid w:val="009E2F69"/>
    <w:rsid w:val="009E371B"/>
    <w:rsid w:val="009E3B38"/>
    <w:rsid w:val="009E3BBB"/>
    <w:rsid w:val="009E3EDE"/>
    <w:rsid w:val="009E535B"/>
    <w:rsid w:val="009E5AE4"/>
    <w:rsid w:val="009E6BBA"/>
    <w:rsid w:val="009F23C5"/>
    <w:rsid w:val="009F2433"/>
    <w:rsid w:val="009F3C2F"/>
    <w:rsid w:val="009F4248"/>
    <w:rsid w:val="009F4F3F"/>
    <w:rsid w:val="009F5EE6"/>
    <w:rsid w:val="009F6151"/>
    <w:rsid w:val="00A004E4"/>
    <w:rsid w:val="00A00607"/>
    <w:rsid w:val="00A07184"/>
    <w:rsid w:val="00A22903"/>
    <w:rsid w:val="00A244A2"/>
    <w:rsid w:val="00A24F1E"/>
    <w:rsid w:val="00A27AC2"/>
    <w:rsid w:val="00A32758"/>
    <w:rsid w:val="00A327B6"/>
    <w:rsid w:val="00A33182"/>
    <w:rsid w:val="00A36176"/>
    <w:rsid w:val="00A3746F"/>
    <w:rsid w:val="00A42181"/>
    <w:rsid w:val="00A42A74"/>
    <w:rsid w:val="00A52F72"/>
    <w:rsid w:val="00A566E4"/>
    <w:rsid w:val="00A56A44"/>
    <w:rsid w:val="00A61604"/>
    <w:rsid w:val="00A62717"/>
    <w:rsid w:val="00A6328E"/>
    <w:rsid w:val="00A63295"/>
    <w:rsid w:val="00A64081"/>
    <w:rsid w:val="00A718F4"/>
    <w:rsid w:val="00A74AC8"/>
    <w:rsid w:val="00A75E73"/>
    <w:rsid w:val="00A76CE2"/>
    <w:rsid w:val="00A81A35"/>
    <w:rsid w:val="00A85819"/>
    <w:rsid w:val="00A86F22"/>
    <w:rsid w:val="00A87301"/>
    <w:rsid w:val="00A873CD"/>
    <w:rsid w:val="00A91B39"/>
    <w:rsid w:val="00A93A3E"/>
    <w:rsid w:val="00A948E1"/>
    <w:rsid w:val="00A96970"/>
    <w:rsid w:val="00A97D14"/>
    <w:rsid w:val="00AA5452"/>
    <w:rsid w:val="00AA5F63"/>
    <w:rsid w:val="00AA66FC"/>
    <w:rsid w:val="00AA6A6B"/>
    <w:rsid w:val="00AB3B63"/>
    <w:rsid w:val="00AB46AC"/>
    <w:rsid w:val="00AB5A41"/>
    <w:rsid w:val="00AB6505"/>
    <w:rsid w:val="00AB6B7C"/>
    <w:rsid w:val="00AC281C"/>
    <w:rsid w:val="00AC329E"/>
    <w:rsid w:val="00AD29FA"/>
    <w:rsid w:val="00AD46F6"/>
    <w:rsid w:val="00AD5D46"/>
    <w:rsid w:val="00AD631F"/>
    <w:rsid w:val="00AD6BF1"/>
    <w:rsid w:val="00AD6FDA"/>
    <w:rsid w:val="00AD7B78"/>
    <w:rsid w:val="00AE1B4A"/>
    <w:rsid w:val="00AE2D7E"/>
    <w:rsid w:val="00AE5147"/>
    <w:rsid w:val="00AF15EA"/>
    <w:rsid w:val="00AF255E"/>
    <w:rsid w:val="00AF6047"/>
    <w:rsid w:val="00AF6075"/>
    <w:rsid w:val="00AF7B6E"/>
    <w:rsid w:val="00B0728D"/>
    <w:rsid w:val="00B10C92"/>
    <w:rsid w:val="00B10EE2"/>
    <w:rsid w:val="00B117A3"/>
    <w:rsid w:val="00B12395"/>
    <w:rsid w:val="00B13440"/>
    <w:rsid w:val="00B22683"/>
    <w:rsid w:val="00B2497D"/>
    <w:rsid w:val="00B35E7E"/>
    <w:rsid w:val="00B40E7D"/>
    <w:rsid w:val="00B466AC"/>
    <w:rsid w:val="00B51245"/>
    <w:rsid w:val="00B54517"/>
    <w:rsid w:val="00B575CE"/>
    <w:rsid w:val="00B609A2"/>
    <w:rsid w:val="00B60A36"/>
    <w:rsid w:val="00B60F4B"/>
    <w:rsid w:val="00B618AF"/>
    <w:rsid w:val="00B64CC4"/>
    <w:rsid w:val="00B65864"/>
    <w:rsid w:val="00B659E4"/>
    <w:rsid w:val="00B66BD3"/>
    <w:rsid w:val="00B70BFA"/>
    <w:rsid w:val="00B71D53"/>
    <w:rsid w:val="00B71DFE"/>
    <w:rsid w:val="00B733A5"/>
    <w:rsid w:val="00B75B44"/>
    <w:rsid w:val="00B802BC"/>
    <w:rsid w:val="00B80326"/>
    <w:rsid w:val="00B8279D"/>
    <w:rsid w:val="00B82E9E"/>
    <w:rsid w:val="00B86674"/>
    <w:rsid w:val="00B90626"/>
    <w:rsid w:val="00B925EB"/>
    <w:rsid w:val="00B9291C"/>
    <w:rsid w:val="00B92F4D"/>
    <w:rsid w:val="00B94B2B"/>
    <w:rsid w:val="00B94B4C"/>
    <w:rsid w:val="00B95C7E"/>
    <w:rsid w:val="00B96E2F"/>
    <w:rsid w:val="00BA06A3"/>
    <w:rsid w:val="00BA392C"/>
    <w:rsid w:val="00BB0474"/>
    <w:rsid w:val="00BC14C7"/>
    <w:rsid w:val="00BC28A4"/>
    <w:rsid w:val="00BC2A3B"/>
    <w:rsid w:val="00BC3BFD"/>
    <w:rsid w:val="00BC3F04"/>
    <w:rsid w:val="00BD1583"/>
    <w:rsid w:val="00BD2381"/>
    <w:rsid w:val="00BD5D15"/>
    <w:rsid w:val="00BD68C1"/>
    <w:rsid w:val="00BD730A"/>
    <w:rsid w:val="00BE01D4"/>
    <w:rsid w:val="00BE0618"/>
    <w:rsid w:val="00BE11D6"/>
    <w:rsid w:val="00BE298E"/>
    <w:rsid w:val="00BE39E1"/>
    <w:rsid w:val="00BE4F51"/>
    <w:rsid w:val="00BE5FA1"/>
    <w:rsid w:val="00BE68F1"/>
    <w:rsid w:val="00BF7E2B"/>
    <w:rsid w:val="00C0082F"/>
    <w:rsid w:val="00C009D9"/>
    <w:rsid w:val="00C03B46"/>
    <w:rsid w:val="00C11220"/>
    <w:rsid w:val="00C12723"/>
    <w:rsid w:val="00C14B91"/>
    <w:rsid w:val="00C16824"/>
    <w:rsid w:val="00C175CA"/>
    <w:rsid w:val="00C24448"/>
    <w:rsid w:val="00C2599F"/>
    <w:rsid w:val="00C26FE0"/>
    <w:rsid w:val="00C30208"/>
    <w:rsid w:val="00C32DCD"/>
    <w:rsid w:val="00C33BAF"/>
    <w:rsid w:val="00C36F66"/>
    <w:rsid w:val="00C42D08"/>
    <w:rsid w:val="00C43F10"/>
    <w:rsid w:val="00C50302"/>
    <w:rsid w:val="00C53653"/>
    <w:rsid w:val="00C5455E"/>
    <w:rsid w:val="00C62E42"/>
    <w:rsid w:val="00C6378A"/>
    <w:rsid w:val="00C64B6C"/>
    <w:rsid w:val="00C65B07"/>
    <w:rsid w:val="00C70A38"/>
    <w:rsid w:val="00C70CAC"/>
    <w:rsid w:val="00C72A4C"/>
    <w:rsid w:val="00C732D1"/>
    <w:rsid w:val="00C77A0D"/>
    <w:rsid w:val="00C8002C"/>
    <w:rsid w:val="00C818FB"/>
    <w:rsid w:val="00C8639F"/>
    <w:rsid w:val="00C90554"/>
    <w:rsid w:val="00C92448"/>
    <w:rsid w:val="00C928A1"/>
    <w:rsid w:val="00C94A01"/>
    <w:rsid w:val="00C96FE0"/>
    <w:rsid w:val="00CA636D"/>
    <w:rsid w:val="00CA67C1"/>
    <w:rsid w:val="00CB1435"/>
    <w:rsid w:val="00CB1DE2"/>
    <w:rsid w:val="00CB3897"/>
    <w:rsid w:val="00CB3AB5"/>
    <w:rsid w:val="00CB5C5C"/>
    <w:rsid w:val="00CB7108"/>
    <w:rsid w:val="00CC06B0"/>
    <w:rsid w:val="00CC081C"/>
    <w:rsid w:val="00CC1554"/>
    <w:rsid w:val="00CC55AF"/>
    <w:rsid w:val="00CC587A"/>
    <w:rsid w:val="00CD036E"/>
    <w:rsid w:val="00CD384F"/>
    <w:rsid w:val="00CD6631"/>
    <w:rsid w:val="00CE0371"/>
    <w:rsid w:val="00CE2179"/>
    <w:rsid w:val="00CE5F52"/>
    <w:rsid w:val="00CE6E42"/>
    <w:rsid w:val="00CF0634"/>
    <w:rsid w:val="00CF34DE"/>
    <w:rsid w:val="00CF4863"/>
    <w:rsid w:val="00CF4E6E"/>
    <w:rsid w:val="00CF5023"/>
    <w:rsid w:val="00CF5473"/>
    <w:rsid w:val="00CF68A8"/>
    <w:rsid w:val="00D02416"/>
    <w:rsid w:val="00D03808"/>
    <w:rsid w:val="00D06AA0"/>
    <w:rsid w:val="00D10C57"/>
    <w:rsid w:val="00D11354"/>
    <w:rsid w:val="00D141C6"/>
    <w:rsid w:val="00D16C6B"/>
    <w:rsid w:val="00D172F6"/>
    <w:rsid w:val="00D21C6A"/>
    <w:rsid w:val="00D21E25"/>
    <w:rsid w:val="00D22DD6"/>
    <w:rsid w:val="00D22EC5"/>
    <w:rsid w:val="00D236B4"/>
    <w:rsid w:val="00D23D38"/>
    <w:rsid w:val="00D26DF6"/>
    <w:rsid w:val="00D30C6A"/>
    <w:rsid w:val="00D326E5"/>
    <w:rsid w:val="00D36934"/>
    <w:rsid w:val="00D41800"/>
    <w:rsid w:val="00D436DA"/>
    <w:rsid w:val="00D43CA6"/>
    <w:rsid w:val="00D46E03"/>
    <w:rsid w:val="00D474FB"/>
    <w:rsid w:val="00D51FD2"/>
    <w:rsid w:val="00D52B35"/>
    <w:rsid w:val="00D53537"/>
    <w:rsid w:val="00D53B60"/>
    <w:rsid w:val="00D54A86"/>
    <w:rsid w:val="00D56255"/>
    <w:rsid w:val="00D56C3B"/>
    <w:rsid w:val="00D615CE"/>
    <w:rsid w:val="00D619B3"/>
    <w:rsid w:val="00D61A2B"/>
    <w:rsid w:val="00D6353E"/>
    <w:rsid w:val="00D66703"/>
    <w:rsid w:val="00D66DF0"/>
    <w:rsid w:val="00D674F4"/>
    <w:rsid w:val="00D7391F"/>
    <w:rsid w:val="00D7522E"/>
    <w:rsid w:val="00D765CC"/>
    <w:rsid w:val="00D835FF"/>
    <w:rsid w:val="00D8420A"/>
    <w:rsid w:val="00D84EE0"/>
    <w:rsid w:val="00D85477"/>
    <w:rsid w:val="00D855EE"/>
    <w:rsid w:val="00D90EDE"/>
    <w:rsid w:val="00D91D63"/>
    <w:rsid w:val="00D92CB3"/>
    <w:rsid w:val="00D92DFD"/>
    <w:rsid w:val="00D9402F"/>
    <w:rsid w:val="00D97D6F"/>
    <w:rsid w:val="00DA1E31"/>
    <w:rsid w:val="00DA3395"/>
    <w:rsid w:val="00DA3619"/>
    <w:rsid w:val="00DA71FA"/>
    <w:rsid w:val="00DA7643"/>
    <w:rsid w:val="00DA78F5"/>
    <w:rsid w:val="00DB0D05"/>
    <w:rsid w:val="00DB70A6"/>
    <w:rsid w:val="00DB70AE"/>
    <w:rsid w:val="00DC10C1"/>
    <w:rsid w:val="00DC341E"/>
    <w:rsid w:val="00DC3B14"/>
    <w:rsid w:val="00DC52C8"/>
    <w:rsid w:val="00DC5FAC"/>
    <w:rsid w:val="00DC61EB"/>
    <w:rsid w:val="00DC673C"/>
    <w:rsid w:val="00DD1115"/>
    <w:rsid w:val="00DD5DC9"/>
    <w:rsid w:val="00DD7576"/>
    <w:rsid w:val="00DE0559"/>
    <w:rsid w:val="00DE1795"/>
    <w:rsid w:val="00DE1F6A"/>
    <w:rsid w:val="00DE5C8D"/>
    <w:rsid w:val="00DE7B0E"/>
    <w:rsid w:val="00DF25B0"/>
    <w:rsid w:val="00DF29FB"/>
    <w:rsid w:val="00DF2F35"/>
    <w:rsid w:val="00DF39B9"/>
    <w:rsid w:val="00E00693"/>
    <w:rsid w:val="00E01E25"/>
    <w:rsid w:val="00E02E3E"/>
    <w:rsid w:val="00E12050"/>
    <w:rsid w:val="00E12624"/>
    <w:rsid w:val="00E13CEA"/>
    <w:rsid w:val="00E16F22"/>
    <w:rsid w:val="00E20443"/>
    <w:rsid w:val="00E21FCA"/>
    <w:rsid w:val="00E22429"/>
    <w:rsid w:val="00E23AA3"/>
    <w:rsid w:val="00E258DB"/>
    <w:rsid w:val="00E2647B"/>
    <w:rsid w:val="00E26CE0"/>
    <w:rsid w:val="00E31C7A"/>
    <w:rsid w:val="00E3245F"/>
    <w:rsid w:val="00E32AB8"/>
    <w:rsid w:val="00E33961"/>
    <w:rsid w:val="00E33AAF"/>
    <w:rsid w:val="00E35FB3"/>
    <w:rsid w:val="00E36904"/>
    <w:rsid w:val="00E36B85"/>
    <w:rsid w:val="00E36E2A"/>
    <w:rsid w:val="00E42589"/>
    <w:rsid w:val="00E438E2"/>
    <w:rsid w:val="00E43911"/>
    <w:rsid w:val="00E452F2"/>
    <w:rsid w:val="00E4600C"/>
    <w:rsid w:val="00E50F1B"/>
    <w:rsid w:val="00E54FFB"/>
    <w:rsid w:val="00E6411B"/>
    <w:rsid w:val="00E6424F"/>
    <w:rsid w:val="00E65502"/>
    <w:rsid w:val="00E6777E"/>
    <w:rsid w:val="00E704E2"/>
    <w:rsid w:val="00E7231C"/>
    <w:rsid w:val="00E73D2E"/>
    <w:rsid w:val="00E746B1"/>
    <w:rsid w:val="00E7656B"/>
    <w:rsid w:val="00E81BF3"/>
    <w:rsid w:val="00E81DAE"/>
    <w:rsid w:val="00E8213D"/>
    <w:rsid w:val="00E85A59"/>
    <w:rsid w:val="00E87303"/>
    <w:rsid w:val="00E87C46"/>
    <w:rsid w:val="00E92652"/>
    <w:rsid w:val="00E9295B"/>
    <w:rsid w:val="00E93889"/>
    <w:rsid w:val="00EA0540"/>
    <w:rsid w:val="00EA1268"/>
    <w:rsid w:val="00EA18D6"/>
    <w:rsid w:val="00EA315B"/>
    <w:rsid w:val="00EA6924"/>
    <w:rsid w:val="00EA7450"/>
    <w:rsid w:val="00EB034B"/>
    <w:rsid w:val="00EB4954"/>
    <w:rsid w:val="00EB5E6B"/>
    <w:rsid w:val="00EB7CD8"/>
    <w:rsid w:val="00EC2904"/>
    <w:rsid w:val="00EC2BD9"/>
    <w:rsid w:val="00EC586F"/>
    <w:rsid w:val="00ED1A12"/>
    <w:rsid w:val="00ED3F54"/>
    <w:rsid w:val="00ED6251"/>
    <w:rsid w:val="00EE1C54"/>
    <w:rsid w:val="00EE2628"/>
    <w:rsid w:val="00EE4C42"/>
    <w:rsid w:val="00EE5B7C"/>
    <w:rsid w:val="00EF3FB2"/>
    <w:rsid w:val="00F0440B"/>
    <w:rsid w:val="00F05769"/>
    <w:rsid w:val="00F07F00"/>
    <w:rsid w:val="00F120CF"/>
    <w:rsid w:val="00F14189"/>
    <w:rsid w:val="00F1757B"/>
    <w:rsid w:val="00F20E79"/>
    <w:rsid w:val="00F24D4E"/>
    <w:rsid w:val="00F26B14"/>
    <w:rsid w:val="00F26ECC"/>
    <w:rsid w:val="00F357B5"/>
    <w:rsid w:val="00F378C3"/>
    <w:rsid w:val="00F4129D"/>
    <w:rsid w:val="00F443B2"/>
    <w:rsid w:val="00F44AC2"/>
    <w:rsid w:val="00F44D57"/>
    <w:rsid w:val="00F4548F"/>
    <w:rsid w:val="00F45661"/>
    <w:rsid w:val="00F46DC4"/>
    <w:rsid w:val="00F5038B"/>
    <w:rsid w:val="00F51BC4"/>
    <w:rsid w:val="00F53342"/>
    <w:rsid w:val="00F546FD"/>
    <w:rsid w:val="00F55311"/>
    <w:rsid w:val="00F55947"/>
    <w:rsid w:val="00F57B36"/>
    <w:rsid w:val="00F61588"/>
    <w:rsid w:val="00F64854"/>
    <w:rsid w:val="00F6543E"/>
    <w:rsid w:val="00F716DF"/>
    <w:rsid w:val="00F71A33"/>
    <w:rsid w:val="00F76451"/>
    <w:rsid w:val="00F76CD5"/>
    <w:rsid w:val="00F835E4"/>
    <w:rsid w:val="00F846A9"/>
    <w:rsid w:val="00F92E98"/>
    <w:rsid w:val="00F95394"/>
    <w:rsid w:val="00F977FD"/>
    <w:rsid w:val="00FA0B47"/>
    <w:rsid w:val="00FA3471"/>
    <w:rsid w:val="00FA5803"/>
    <w:rsid w:val="00FA6134"/>
    <w:rsid w:val="00FA6DFD"/>
    <w:rsid w:val="00FB00DD"/>
    <w:rsid w:val="00FB12F7"/>
    <w:rsid w:val="00FB25C9"/>
    <w:rsid w:val="00FC10B7"/>
    <w:rsid w:val="00FC1D45"/>
    <w:rsid w:val="00FC293B"/>
    <w:rsid w:val="00FC48D6"/>
    <w:rsid w:val="00FC4B29"/>
    <w:rsid w:val="00FC5BE9"/>
    <w:rsid w:val="00FC7490"/>
    <w:rsid w:val="00FD04D5"/>
    <w:rsid w:val="00FD41D0"/>
    <w:rsid w:val="00FD66CD"/>
    <w:rsid w:val="00FE3059"/>
    <w:rsid w:val="00FE5ECC"/>
    <w:rsid w:val="00FE631D"/>
    <w:rsid w:val="00FE7C89"/>
    <w:rsid w:val="00FF0B6B"/>
    <w:rsid w:val="00FF172E"/>
    <w:rsid w:val="00FF26FA"/>
    <w:rsid w:val="00FF483A"/>
    <w:rsid w:val="019541B4"/>
    <w:rsid w:val="01B75616"/>
    <w:rsid w:val="01D408F4"/>
    <w:rsid w:val="01EB1812"/>
    <w:rsid w:val="020967F0"/>
    <w:rsid w:val="02DB37D5"/>
    <w:rsid w:val="03045209"/>
    <w:rsid w:val="040C4504"/>
    <w:rsid w:val="041A2F36"/>
    <w:rsid w:val="05341DD6"/>
    <w:rsid w:val="06620BC5"/>
    <w:rsid w:val="066606B5"/>
    <w:rsid w:val="06782196"/>
    <w:rsid w:val="078A409C"/>
    <w:rsid w:val="07EC19EA"/>
    <w:rsid w:val="08012656"/>
    <w:rsid w:val="083640B7"/>
    <w:rsid w:val="08D00067"/>
    <w:rsid w:val="090F58C9"/>
    <w:rsid w:val="0AAF6F0E"/>
    <w:rsid w:val="0C7358DA"/>
    <w:rsid w:val="0D266145"/>
    <w:rsid w:val="0DCE7754"/>
    <w:rsid w:val="0E1A1DC4"/>
    <w:rsid w:val="0E251232"/>
    <w:rsid w:val="0E4D5CB6"/>
    <w:rsid w:val="10855BAC"/>
    <w:rsid w:val="10991687"/>
    <w:rsid w:val="10AC760C"/>
    <w:rsid w:val="10B20503"/>
    <w:rsid w:val="10C85AC8"/>
    <w:rsid w:val="110407C1"/>
    <w:rsid w:val="12FB2185"/>
    <w:rsid w:val="13474541"/>
    <w:rsid w:val="13ED41C3"/>
    <w:rsid w:val="13F652C8"/>
    <w:rsid w:val="152E4A94"/>
    <w:rsid w:val="15787ABD"/>
    <w:rsid w:val="17CF299D"/>
    <w:rsid w:val="1921283C"/>
    <w:rsid w:val="19630A84"/>
    <w:rsid w:val="19A11015"/>
    <w:rsid w:val="19F71B11"/>
    <w:rsid w:val="1A9A04D5"/>
    <w:rsid w:val="1AB92D74"/>
    <w:rsid w:val="1AE94FB9"/>
    <w:rsid w:val="1C8D37C1"/>
    <w:rsid w:val="1CF726CD"/>
    <w:rsid w:val="1D13631D"/>
    <w:rsid w:val="1EFC5F35"/>
    <w:rsid w:val="1F191A43"/>
    <w:rsid w:val="1FB042F7"/>
    <w:rsid w:val="206550E2"/>
    <w:rsid w:val="21091E3F"/>
    <w:rsid w:val="230C3F3A"/>
    <w:rsid w:val="233C31B9"/>
    <w:rsid w:val="24241127"/>
    <w:rsid w:val="255F65A3"/>
    <w:rsid w:val="256D3348"/>
    <w:rsid w:val="256E2C8A"/>
    <w:rsid w:val="275B30EA"/>
    <w:rsid w:val="27952750"/>
    <w:rsid w:val="279D398E"/>
    <w:rsid w:val="27B92042"/>
    <w:rsid w:val="288307FB"/>
    <w:rsid w:val="288B742E"/>
    <w:rsid w:val="290B7653"/>
    <w:rsid w:val="29D62BAC"/>
    <w:rsid w:val="2A094D30"/>
    <w:rsid w:val="2A5A1A2F"/>
    <w:rsid w:val="2AD46197"/>
    <w:rsid w:val="2B3C1FCF"/>
    <w:rsid w:val="2BBA4C3C"/>
    <w:rsid w:val="2C757690"/>
    <w:rsid w:val="2CF021D7"/>
    <w:rsid w:val="2D0933FF"/>
    <w:rsid w:val="2D510B0C"/>
    <w:rsid w:val="2F106B60"/>
    <w:rsid w:val="2F283EAA"/>
    <w:rsid w:val="2F685560"/>
    <w:rsid w:val="2F8F217B"/>
    <w:rsid w:val="2F971030"/>
    <w:rsid w:val="2FE10082"/>
    <w:rsid w:val="2FF975F4"/>
    <w:rsid w:val="304940D8"/>
    <w:rsid w:val="312864F2"/>
    <w:rsid w:val="31610AB1"/>
    <w:rsid w:val="31B129C1"/>
    <w:rsid w:val="320D7A4C"/>
    <w:rsid w:val="322254F3"/>
    <w:rsid w:val="32250B75"/>
    <w:rsid w:val="323B0398"/>
    <w:rsid w:val="327F1F42"/>
    <w:rsid w:val="35054E7F"/>
    <w:rsid w:val="35451BB4"/>
    <w:rsid w:val="35AD3358"/>
    <w:rsid w:val="35C40BE4"/>
    <w:rsid w:val="36485520"/>
    <w:rsid w:val="366D0D63"/>
    <w:rsid w:val="36A71B58"/>
    <w:rsid w:val="36E94EEA"/>
    <w:rsid w:val="37040D59"/>
    <w:rsid w:val="373D1B17"/>
    <w:rsid w:val="378400EB"/>
    <w:rsid w:val="379F0824"/>
    <w:rsid w:val="38546116"/>
    <w:rsid w:val="388C7CF5"/>
    <w:rsid w:val="38C628D6"/>
    <w:rsid w:val="38E27079"/>
    <w:rsid w:val="38F90665"/>
    <w:rsid w:val="392456E2"/>
    <w:rsid w:val="39267F0A"/>
    <w:rsid w:val="397A6875"/>
    <w:rsid w:val="3982065B"/>
    <w:rsid w:val="39A16D33"/>
    <w:rsid w:val="3A563FC1"/>
    <w:rsid w:val="3B8D5353"/>
    <w:rsid w:val="3BE86430"/>
    <w:rsid w:val="3BFD114C"/>
    <w:rsid w:val="3C8F0749"/>
    <w:rsid w:val="3C951B5E"/>
    <w:rsid w:val="3CE07F79"/>
    <w:rsid w:val="3CE82ECA"/>
    <w:rsid w:val="3D086B13"/>
    <w:rsid w:val="3D2D16A6"/>
    <w:rsid w:val="3D75F80D"/>
    <w:rsid w:val="3D9F3D32"/>
    <w:rsid w:val="3DC40CD9"/>
    <w:rsid w:val="3F193475"/>
    <w:rsid w:val="3FB377C0"/>
    <w:rsid w:val="3FF16532"/>
    <w:rsid w:val="40972C3D"/>
    <w:rsid w:val="40D519B8"/>
    <w:rsid w:val="41E72ACE"/>
    <w:rsid w:val="423A41C8"/>
    <w:rsid w:val="43F31F8B"/>
    <w:rsid w:val="44472BCC"/>
    <w:rsid w:val="44A6643B"/>
    <w:rsid w:val="452769D2"/>
    <w:rsid w:val="456B6556"/>
    <w:rsid w:val="45D87F80"/>
    <w:rsid w:val="464A59BB"/>
    <w:rsid w:val="46805F22"/>
    <w:rsid w:val="46D839FC"/>
    <w:rsid w:val="479F0965"/>
    <w:rsid w:val="47F941DE"/>
    <w:rsid w:val="48345216"/>
    <w:rsid w:val="484453C8"/>
    <w:rsid w:val="48BD62E3"/>
    <w:rsid w:val="49211C3E"/>
    <w:rsid w:val="49B14A61"/>
    <w:rsid w:val="4A3E05CE"/>
    <w:rsid w:val="4A5678F9"/>
    <w:rsid w:val="4AB037C6"/>
    <w:rsid w:val="4B1B718B"/>
    <w:rsid w:val="4C003D8D"/>
    <w:rsid w:val="4C182C66"/>
    <w:rsid w:val="4C73584B"/>
    <w:rsid w:val="4D722A68"/>
    <w:rsid w:val="4DB43081"/>
    <w:rsid w:val="4E275F83"/>
    <w:rsid w:val="4E52289A"/>
    <w:rsid w:val="4F3F2E1E"/>
    <w:rsid w:val="4F730D1A"/>
    <w:rsid w:val="4F952A3E"/>
    <w:rsid w:val="50E60C19"/>
    <w:rsid w:val="51B318A1"/>
    <w:rsid w:val="539E4B12"/>
    <w:rsid w:val="53F51CFD"/>
    <w:rsid w:val="544C2923"/>
    <w:rsid w:val="55287EB0"/>
    <w:rsid w:val="56101D2D"/>
    <w:rsid w:val="56E10C5F"/>
    <w:rsid w:val="571141E6"/>
    <w:rsid w:val="5781368F"/>
    <w:rsid w:val="57A77040"/>
    <w:rsid w:val="58E03592"/>
    <w:rsid w:val="58E30B40"/>
    <w:rsid w:val="5A6C6A91"/>
    <w:rsid w:val="5BD05A96"/>
    <w:rsid w:val="5D7C348F"/>
    <w:rsid w:val="5D8E1363"/>
    <w:rsid w:val="5DDC7782"/>
    <w:rsid w:val="5ED5716B"/>
    <w:rsid w:val="5EE94B54"/>
    <w:rsid w:val="60AE3960"/>
    <w:rsid w:val="61AC68DB"/>
    <w:rsid w:val="61CB22EF"/>
    <w:rsid w:val="61FB560A"/>
    <w:rsid w:val="62570027"/>
    <w:rsid w:val="62F31D64"/>
    <w:rsid w:val="637075F2"/>
    <w:rsid w:val="63D336DD"/>
    <w:rsid w:val="64470089"/>
    <w:rsid w:val="652F2B95"/>
    <w:rsid w:val="66BE66DA"/>
    <w:rsid w:val="66D64856"/>
    <w:rsid w:val="67B42AA6"/>
    <w:rsid w:val="683222D4"/>
    <w:rsid w:val="689D478B"/>
    <w:rsid w:val="693402CB"/>
    <w:rsid w:val="6AB44BE2"/>
    <w:rsid w:val="6AD9782B"/>
    <w:rsid w:val="6BE83A33"/>
    <w:rsid w:val="6C0703C8"/>
    <w:rsid w:val="6C3B62C3"/>
    <w:rsid w:val="6C9B7BBF"/>
    <w:rsid w:val="6D9E6CE0"/>
    <w:rsid w:val="6DC139D5"/>
    <w:rsid w:val="6DEF3809"/>
    <w:rsid w:val="6E192634"/>
    <w:rsid w:val="6E2A4841"/>
    <w:rsid w:val="6E387643"/>
    <w:rsid w:val="6EBD2B14"/>
    <w:rsid w:val="6F157AFB"/>
    <w:rsid w:val="6F286FD3"/>
    <w:rsid w:val="6FCF744E"/>
    <w:rsid w:val="70187047"/>
    <w:rsid w:val="706E6C67"/>
    <w:rsid w:val="707F6112"/>
    <w:rsid w:val="70DC1E23"/>
    <w:rsid w:val="70EC1F91"/>
    <w:rsid w:val="713D663A"/>
    <w:rsid w:val="72171902"/>
    <w:rsid w:val="72D374BB"/>
    <w:rsid w:val="73B90137"/>
    <w:rsid w:val="73D757CD"/>
    <w:rsid w:val="745368A0"/>
    <w:rsid w:val="74640AAD"/>
    <w:rsid w:val="7486325A"/>
    <w:rsid w:val="74DE6F14"/>
    <w:rsid w:val="751065AA"/>
    <w:rsid w:val="7533178F"/>
    <w:rsid w:val="75EF07B8"/>
    <w:rsid w:val="763E70DC"/>
    <w:rsid w:val="76574C50"/>
    <w:rsid w:val="76724FD8"/>
    <w:rsid w:val="76810114"/>
    <w:rsid w:val="76E3075F"/>
    <w:rsid w:val="77043A5F"/>
    <w:rsid w:val="77341CDB"/>
    <w:rsid w:val="77424D0C"/>
    <w:rsid w:val="779F0396"/>
    <w:rsid w:val="787E4304"/>
    <w:rsid w:val="79742996"/>
    <w:rsid w:val="79D54DBB"/>
    <w:rsid w:val="7AED2E7F"/>
    <w:rsid w:val="7B9642BA"/>
    <w:rsid w:val="7BD44AB5"/>
    <w:rsid w:val="7C317EC8"/>
    <w:rsid w:val="7C3664B7"/>
    <w:rsid w:val="7DBC700E"/>
    <w:rsid w:val="7DDA395A"/>
    <w:rsid w:val="7DE63A7B"/>
    <w:rsid w:val="7E10135E"/>
    <w:rsid w:val="7E1770D0"/>
    <w:rsid w:val="7E7BF56B"/>
    <w:rsid w:val="7FF74A1C"/>
    <w:rsid w:val="DFFEF7A6"/>
    <w:rsid w:val="FBBF4035"/>
    <w:rsid w:val="FE557C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uiPriority w:val="0"/>
    <w:pPr>
      <w:keepNext/>
      <w:keepLines/>
      <w:snapToGrid w:val="0"/>
      <w:spacing w:before="120" w:line="560" w:lineRule="exact"/>
      <w:jc w:val="center"/>
      <w:outlineLvl w:val="0"/>
    </w:pPr>
    <w:rPr>
      <w:rFonts w:ascii="黑体" w:hAnsi="黑体" w:eastAsia="黑体"/>
      <w:bCs/>
      <w:kern w:val="44"/>
      <w:sz w:val="32"/>
      <w:szCs w:val="44"/>
    </w:rPr>
  </w:style>
  <w:style w:type="paragraph" w:styleId="3">
    <w:name w:val="heading 2"/>
    <w:basedOn w:val="1"/>
    <w:next w:val="1"/>
    <w:autoRedefine/>
    <w:qFormat/>
    <w:uiPriority w:val="0"/>
    <w:pPr>
      <w:keepNext/>
      <w:keepLines/>
      <w:tabs>
        <w:tab w:val="left" w:pos="1322"/>
      </w:tabs>
      <w:spacing w:before="260" w:after="260" w:line="416" w:lineRule="auto"/>
      <w:ind w:left="1322" w:hanging="720"/>
      <w:outlineLvl w:val="1"/>
    </w:pPr>
    <w:rPr>
      <w:rFonts w:ascii="仿宋_GB2312" w:hAnsi="Arial" w:eastAsia="仿宋_GB2312"/>
      <w:bCs/>
      <w:sz w:val="32"/>
      <w:szCs w:val="32"/>
    </w:rPr>
  </w:style>
  <w:style w:type="paragraph" w:styleId="4">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autoRedefine/>
    <w:semiHidden/>
    <w:unhideWhenUsed/>
    <w:qFormat/>
    <w:uiPriority w:val="0"/>
    <w:rPr>
      <w:rFonts w:ascii="宋体"/>
      <w:sz w:val="18"/>
      <w:szCs w:val="18"/>
    </w:rPr>
  </w:style>
  <w:style w:type="paragraph" w:styleId="6">
    <w:name w:val="annotation text"/>
    <w:basedOn w:val="1"/>
    <w:link w:val="37"/>
    <w:autoRedefine/>
    <w:unhideWhenUsed/>
    <w:qFormat/>
    <w:uiPriority w:val="99"/>
    <w:pPr>
      <w:jc w:val="left"/>
    </w:pPr>
    <w:rPr>
      <w:szCs w:val="22"/>
    </w:rPr>
  </w:style>
  <w:style w:type="paragraph" w:styleId="7">
    <w:name w:val="Body Text"/>
    <w:basedOn w:val="1"/>
    <w:autoRedefine/>
    <w:unhideWhenUsed/>
    <w:qFormat/>
    <w:uiPriority w:val="0"/>
    <w:pPr>
      <w:spacing w:after="120"/>
    </w:pPr>
    <w:rPr>
      <w:rFonts w:ascii="Calibri" w:hAnsi="Calibri"/>
      <w:szCs w:val="22"/>
    </w:rPr>
  </w:style>
  <w:style w:type="paragraph" w:styleId="8">
    <w:name w:val="toc 3"/>
    <w:basedOn w:val="1"/>
    <w:next w:val="1"/>
    <w:autoRedefine/>
    <w:qFormat/>
    <w:uiPriority w:val="39"/>
    <w:pPr>
      <w:ind w:left="840" w:leftChars="400"/>
    </w:pPr>
  </w:style>
  <w:style w:type="paragraph" w:styleId="9">
    <w:name w:val="Date"/>
    <w:basedOn w:val="1"/>
    <w:next w:val="1"/>
    <w:autoRedefine/>
    <w:qFormat/>
    <w:uiPriority w:val="0"/>
    <w:pPr>
      <w:ind w:left="100" w:leftChars="2500"/>
    </w:pPr>
  </w:style>
  <w:style w:type="paragraph" w:styleId="10">
    <w:name w:val="Balloon Text"/>
    <w:basedOn w:val="1"/>
    <w:autoRedefine/>
    <w:semiHidden/>
    <w:qFormat/>
    <w:uiPriority w:val="0"/>
    <w:rPr>
      <w:sz w:val="18"/>
      <w:szCs w:val="18"/>
    </w:rPr>
  </w:style>
  <w:style w:type="paragraph" w:styleId="11">
    <w:name w:val="footer"/>
    <w:basedOn w:val="1"/>
    <w:link w:val="36"/>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footnote text"/>
    <w:basedOn w:val="1"/>
    <w:link w:val="34"/>
    <w:autoRedefine/>
    <w:qFormat/>
    <w:uiPriority w:val="0"/>
    <w:pPr>
      <w:snapToGrid w:val="0"/>
      <w:jc w:val="left"/>
    </w:pPr>
    <w:rPr>
      <w:sz w:val="18"/>
      <w:szCs w:val="18"/>
    </w:rPr>
  </w:style>
  <w:style w:type="paragraph" w:styleId="15">
    <w:name w:val="toc 2"/>
    <w:basedOn w:val="1"/>
    <w:next w:val="1"/>
    <w:autoRedefine/>
    <w:qFormat/>
    <w:uiPriority w:val="39"/>
    <w:pPr>
      <w:ind w:left="420" w:leftChars="200"/>
    </w:pPr>
  </w:style>
  <w:style w:type="paragraph" w:styleId="1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7">
    <w:name w:val="annotation subject"/>
    <w:basedOn w:val="6"/>
    <w:next w:val="6"/>
    <w:link w:val="39"/>
    <w:autoRedefine/>
    <w:semiHidden/>
    <w:unhideWhenUsed/>
    <w:qFormat/>
    <w:uiPriority w:val="0"/>
    <w:rPr>
      <w:b/>
      <w:bCs/>
      <w:szCs w:val="24"/>
    </w:rPr>
  </w:style>
  <w:style w:type="table" w:styleId="19">
    <w:name w:val="Table Grid"/>
    <w:basedOn w:val="18"/>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basedOn w:val="20"/>
    <w:autoRedefine/>
    <w:qFormat/>
    <w:uiPriority w:val="0"/>
    <w:rPr>
      <w:color w:val="0000FF"/>
      <w:u w:val="single"/>
    </w:rPr>
  </w:style>
  <w:style w:type="character" w:styleId="23">
    <w:name w:val="annotation reference"/>
    <w:basedOn w:val="20"/>
    <w:autoRedefine/>
    <w:semiHidden/>
    <w:unhideWhenUsed/>
    <w:qFormat/>
    <w:uiPriority w:val="0"/>
    <w:rPr>
      <w:sz w:val="21"/>
      <w:szCs w:val="21"/>
    </w:rPr>
  </w:style>
  <w:style w:type="character" w:styleId="24">
    <w:name w:val="footnote reference"/>
    <w:basedOn w:val="20"/>
    <w:autoRedefine/>
    <w:qFormat/>
    <w:uiPriority w:val="0"/>
    <w:rPr>
      <w:vertAlign w:val="superscript"/>
    </w:rPr>
  </w:style>
  <w:style w:type="paragraph" w:customStyle="1" w:styleId="25">
    <w:name w:val="Char Char Char Char Char Char Char Char2 Char Char Char Char Char Char Char"/>
    <w:basedOn w:val="1"/>
    <w:autoRedefine/>
    <w:qFormat/>
    <w:uiPriority w:val="0"/>
    <w:rPr>
      <w:rFonts w:ascii="宋体" w:hAnsi="宋体" w:cs="Courier New"/>
      <w:sz w:val="32"/>
      <w:szCs w:val="32"/>
    </w:rPr>
  </w:style>
  <w:style w:type="paragraph" w:customStyle="1" w:styleId="26">
    <w:name w:val="Char Char Char"/>
    <w:basedOn w:val="1"/>
    <w:autoRedefine/>
    <w:qFormat/>
    <w:uiPriority w:val="0"/>
    <w:rPr>
      <w:rFonts w:ascii="宋体" w:hAnsi="宋体" w:cs="Courier New"/>
      <w:sz w:val="32"/>
      <w:szCs w:val="32"/>
    </w:rPr>
  </w:style>
  <w:style w:type="character" w:customStyle="1" w:styleId="27">
    <w:name w:val="txt1"/>
    <w:basedOn w:val="20"/>
    <w:autoRedefine/>
    <w:qFormat/>
    <w:uiPriority w:val="0"/>
    <w:rPr>
      <w:color w:val="333333"/>
      <w:sz w:val="20"/>
      <w:szCs w:val="20"/>
      <w:u w:val="none"/>
    </w:rPr>
  </w:style>
  <w:style w:type="paragraph" w:customStyle="1" w:styleId="2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9">
    <w:name w:val="大标题"/>
    <w:basedOn w:val="1"/>
    <w:autoRedefine/>
    <w:qFormat/>
    <w:uiPriority w:val="0"/>
    <w:pPr>
      <w:spacing w:beforeLines="200"/>
      <w:jc w:val="center"/>
    </w:pPr>
    <w:rPr>
      <w:rFonts w:eastAsia="黑体"/>
      <w:b/>
      <w:sz w:val="44"/>
    </w:rPr>
  </w:style>
  <w:style w:type="paragraph" w:customStyle="1" w:styleId="30">
    <w:name w:val="p0"/>
    <w:basedOn w:val="1"/>
    <w:autoRedefine/>
    <w:qFormat/>
    <w:uiPriority w:val="0"/>
    <w:pPr>
      <w:widowControl/>
    </w:pPr>
    <w:rPr>
      <w:rFonts w:ascii="Calibri" w:hAnsi="Calibri" w:cs="Calibri"/>
      <w:kern w:val="0"/>
      <w:szCs w:val="21"/>
    </w:rPr>
  </w:style>
  <w:style w:type="paragraph" w:styleId="31">
    <w:name w:val="List Paragraph"/>
    <w:basedOn w:val="1"/>
    <w:autoRedefine/>
    <w:qFormat/>
    <w:uiPriority w:val="99"/>
    <w:pPr>
      <w:ind w:firstLine="420" w:firstLineChars="200"/>
    </w:pPr>
    <w:rPr>
      <w:rFonts w:ascii="Calibri" w:hAnsi="Calibri"/>
      <w:szCs w:val="22"/>
    </w:rPr>
  </w:style>
  <w:style w:type="paragraph" w:customStyle="1" w:styleId="32">
    <w:name w:val="列出段落1"/>
    <w:basedOn w:val="1"/>
    <w:autoRedefine/>
    <w:qFormat/>
    <w:uiPriority w:val="99"/>
    <w:pPr>
      <w:ind w:firstLine="420" w:firstLineChars="200"/>
    </w:pPr>
    <w:rPr>
      <w:rFonts w:ascii="Calibri" w:hAnsi="Calibri"/>
      <w:szCs w:val="22"/>
    </w:rPr>
  </w:style>
  <w:style w:type="character" w:customStyle="1" w:styleId="33">
    <w:name w:val="标题 3 Char"/>
    <w:basedOn w:val="20"/>
    <w:link w:val="4"/>
    <w:autoRedefine/>
    <w:qFormat/>
    <w:uiPriority w:val="0"/>
    <w:rPr>
      <w:b/>
      <w:bCs/>
      <w:kern w:val="2"/>
      <w:sz w:val="32"/>
      <w:szCs w:val="32"/>
    </w:rPr>
  </w:style>
  <w:style w:type="character" w:customStyle="1" w:styleId="34">
    <w:name w:val="脚注文本 Char"/>
    <w:basedOn w:val="20"/>
    <w:link w:val="14"/>
    <w:autoRedefine/>
    <w:qFormat/>
    <w:uiPriority w:val="0"/>
    <w:rPr>
      <w:kern w:val="2"/>
      <w:sz w:val="18"/>
      <w:szCs w:val="18"/>
    </w:rPr>
  </w:style>
  <w:style w:type="character" w:customStyle="1" w:styleId="35">
    <w:name w:val="标题 1 Char"/>
    <w:basedOn w:val="20"/>
    <w:link w:val="2"/>
    <w:autoRedefine/>
    <w:qFormat/>
    <w:uiPriority w:val="0"/>
    <w:rPr>
      <w:rFonts w:ascii="黑体" w:hAnsi="黑体" w:eastAsia="黑体"/>
      <w:bCs/>
      <w:kern w:val="44"/>
      <w:sz w:val="32"/>
      <w:szCs w:val="44"/>
    </w:rPr>
  </w:style>
  <w:style w:type="character" w:customStyle="1" w:styleId="36">
    <w:name w:val="页脚 Char"/>
    <w:basedOn w:val="20"/>
    <w:link w:val="11"/>
    <w:autoRedefine/>
    <w:qFormat/>
    <w:uiPriority w:val="99"/>
    <w:rPr>
      <w:kern w:val="2"/>
      <w:sz w:val="18"/>
      <w:szCs w:val="18"/>
    </w:rPr>
  </w:style>
  <w:style w:type="character" w:customStyle="1" w:styleId="37">
    <w:name w:val="批注文字 Char"/>
    <w:basedOn w:val="20"/>
    <w:link w:val="6"/>
    <w:autoRedefine/>
    <w:qFormat/>
    <w:uiPriority w:val="99"/>
    <w:rPr>
      <w:kern w:val="2"/>
      <w:sz w:val="21"/>
      <w:szCs w:val="22"/>
    </w:rPr>
  </w:style>
  <w:style w:type="character" w:customStyle="1" w:styleId="38">
    <w:name w:val="文档结构图 Char"/>
    <w:basedOn w:val="20"/>
    <w:link w:val="5"/>
    <w:autoRedefine/>
    <w:semiHidden/>
    <w:qFormat/>
    <w:uiPriority w:val="0"/>
    <w:rPr>
      <w:rFonts w:ascii="宋体"/>
      <w:kern w:val="2"/>
      <w:sz w:val="18"/>
      <w:szCs w:val="18"/>
    </w:rPr>
  </w:style>
  <w:style w:type="character" w:customStyle="1" w:styleId="39">
    <w:name w:val="批注主题 Char"/>
    <w:basedOn w:val="37"/>
    <w:link w:val="17"/>
    <w:autoRedefine/>
    <w:semiHidden/>
    <w:qFormat/>
    <w:uiPriority w:val="0"/>
    <w:rPr>
      <w:b/>
      <w:bCs/>
      <w:kern w:val="2"/>
      <w:sz w:val="21"/>
      <w:szCs w:val="24"/>
    </w:rPr>
  </w:style>
  <w:style w:type="paragraph" w:customStyle="1" w:styleId="40">
    <w:name w:val="修订1"/>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41">
    <w:name w:val="网格型1"/>
    <w:basedOn w:val="18"/>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网格型2"/>
    <w:basedOn w:val="18"/>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3">
    <w:name w:val="No Spacing"/>
    <w:autoRedefine/>
    <w:qFormat/>
    <w:uiPriority w:val="1"/>
    <w:pPr>
      <w:widowControl w:val="0"/>
      <w:ind w:firstLine="200" w:firstLineChars="200"/>
      <w:jc w:val="both"/>
    </w:pPr>
    <w:rPr>
      <w:rFonts w:ascii="等线" w:hAnsi="等线" w:eastAsia="仿宋_GB2312" w:cs="Times New Roman"/>
      <w:kern w:val="2"/>
      <w:sz w:val="32"/>
      <w:szCs w:val="22"/>
      <w:lang w:val="en-US" w:eastAsia="zh-CN" w:bidi="ar-SA"/>
    </w:rPr>
  </w:style>
  <w:style w:type="character" w:customStyle="1" w:styleId="44">
    <w:name w:val="font01"/>
    <w:basedOn w:val="20"/>
    <w:autoRedefine/>
    <w:qFormat/>
    <w:uiPriority w:val="0"/>
    <w:rPr>
      <w:rFonts w:hint="default" w:ascii="仿宋" w:hAnsi="仿宋" w:eastAsia="仿宋" w:cs="仿宋"/>
      <w:b/>
      <w:color w:val="FF0000"/>
      <w:sz w:val="24"/>
      <w:szCs w:val="24"/>
      <w:u w:val="none"/>
    </w:rPr>
  </w:style>
  <w:style w:type="paragraph" w:customStyle="1" w:styleId="45">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15"/>
    <w:basedOn w:val="20"/>
    <w:autoRedefine/>
    <w:qFormat/>
    <w:uiPriority w:val="0"/>
    <w:rPr>
      <w:rFonts w:hint="eastAsia" w:ascii="仿宋" w:hAnsi="仿宋" w:eastAsia="仿宋"/>
      <w:b/>
      <w:color w:val="FF0000"/>
      <w:sz w:val="24"/>
      <w:szCs w:val="24"/>
    </w:rPr>
  </w:style>
  <w:style w:type="paragraph" w:customStyle="1" w:styleId="47">
    <w:name w:val="修订3"/>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48">
    <w:name w:val="网格型3"/>
    <w:basedOn w:val="18"/>
    <w:autoRedefine/>
    <w:unhideWhenUsed/>
    <w:qFormat/>
    <w:uiPriority w:val="9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9">
    <w:name w:val="10"/>
    <w:basedOn w:val="20"/>
    <w:autoRedefine/>
    <w:qFormat/>
    <w:uiPriority w:val="0"/>
    <w:rPr>
      <w:rFonts w:hint="default" w:ascii="Times New Roman" w:hAnsi="Times New Roman" w:cs="Times New Roman"/>
    </w:rPr>
  </w:style>
  <w:style w:type="paragraph" w:customStyle="1" w:styleId="5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1">
    <w:name w:val="Table Paragraph"/>
    <w:basedOn w:val="1"/>
    <w:autoRedefine/>
    <w:qFormat/>
    <w:uiPriority w:val="1"/>
  </w:style>
  <w:style w:type="table" w:customStyle="1" w:styleId="52">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20</Pages>
  <Words>5903</Words>
  <Characters>6121</Characters>
  <Lines>48</Lines>
  <Paragraphs>13</Paragraphs>
  <TotalTime>7</TotalTime>
  <ScaleCrop>false</ScaleCrop>
  <LinksUpToDate>false</LinksUpToDate>
  <CharactersWithSpaces>6467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2025-08-27T09:18:00Z</dcterms:created>
  <dc:creator>MC SYSTEM</dc:creator>
  <cp:lastModifiedBy>123</cp:lastModifiedBy>
  <cp:lastPrinted>2025-08-22T03:24:00Z</cp:lastPrinted>
  <dcterms:modified xsi:type="dcterms:W3CDTF">2025-09-19T00:06:30Z</dcterms:modified>
  <dc:title>关于北京市保护知识产权举报投诉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2AB968FF775C4F7080DA82BF17D968FF_13</vt:lpwstr>
  </property>
  <property fmtid="{D5CDD505-2E9C-101B-9397-08002B2CF9AE}" pid="4" name="KSOTemplateDocerSaveRecord">
    <vt:lpwstr>eyJoZGlkIjoiMTZmZjRhNjA5ZTNjNTYzZTM3YjE2YjcxODYxZjQ0NmUiLCJ1c2VySWQiOiIyODM4MzkzMjMifQ==</vt:lpwstr>
  </property>
</Properties>
</file>